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AE4" w:rsidRDefault="00EB6B94">
      <w:pPr>
        <w:snapToGrid w:val="0"/>
        <w:ind w:left="1701" w:hanging="1701"/>
        <w:jc w:val="left"/>
        <w:rPr>
          <w:rFonts w:ascii="Arial" w:hAnsi="Arial" w:cs="Arial"/>
          <w:b/>
          <w:bCs/>
          <w:kern w:val="0"/>
          <w:sz w:val="22"/>
          <w:szCs w:val="22"/>
        </w:rPr>
      </w:pPr>
      <w:bookmarkStart w:id="0" w:name="OLE_LINK1"/>
      <w:bookmarkStart w:id="1" w:name="OLE_LINK2"/>
      <w:bookmarkStart w:id="2" w:name="_Ref124589665"/>
      <w:bookmarkStart w:id="3" w:name="_Ref124671424"/>
      <w:bookmarkStart w:id="4" w:name="_Ref71620620"/>
      <w:r>
        <w:rPr>
          <w:rFonts w:ascii="Arial" w:eastAsia="Calibri" w:hAnsi="Arial" w:cs="Arial"/>
          <w:b/>
          <w:bCs/>
          <w:kern w:val="0"/>
          <w:sz w:val="22"/>
          <w:szCs w:val="22"/>
          <w:lang w:eastAsia="en-US"/>
        </w:rPr>
        <w:t>3GPP TSG RAN WG1 #10</w:t>
      </w:r>
      <w:r>
        <w:rPr>
          <w:rFonts w:ascii="Arial" w:hAnsi="Arial" w:cs="Arial" w:hint="eastAsia"/>
          <w:b/>
          <w:bCs/>
          <w:kern w:val="0"/>
          <w:sz w:val="22"/>
          <w:szCs w:val="22"/>
        </w:rPr>
        <w:t>6b-</w:t>
      </w:r>
      <w:r>
        <w:rPr>
          <w:rFonts w:ascii="Arial" w:hAnsi="Arial" w:cs="Arial"/>
          <w:b/>
          <w:bCs/>
          <w:kern w:val="0"/>
          <w:sz w:val="22"/>
          <w:szCs w:val="22"/>
        </w:rPr>
        <w:t>e</w:t>
      </w:r>
      <w:r>
        <w:rPr>
          <w:rFonts w:ascii="Arial" w:hAnsi="Arial" w:cs="Arial" w:hint="eastAsia"/>
          <w:b/>
          <w:bCs/>
          <w:kern w:val="0"/>
          <w:sz w:val="22"/>
          <w:szCs w:val="22"/>
        </w:rPr>
        <w:t xml:space="preserve">     </w:t>
      </w:r>
      <w:r w:rsidR="008906DB">
        <w:rPr>
          <w:rFonts w:ascii="Arial" w:hAnsi="Arial" w:cs="Arial" w:hint="eastAsia"/>
          <w:b/>
          <w:bCs/>
          <w:kern w:val="0"/>
          <w:sz w:val="22"/>
          <w:szCs w:val="22"/>
        </w:rPr>
        <w:t xml:space="preserve">                               </w:t>
      </w:r>
      <w:r>
        <w:rPr>
          <w:rFonts w:ascii="Arial" w:hAnsi="Arial" w:cs="Arial"/>
          <w:b/>
          <w:bCs/>
          <w:kern w:val="0"/>
          <w:sz w:val="22"/>
          <w:szCs w:val="22"/>
        </w:rPr>
        <w:t>R1-</w:t>
      </w:r>
      <w:r w:rsidR="008906DB">
        <w:rPr>
          <w:rFonts w:ascii="Arial" w:hAnsi="Arial" w:cs="Arial"/>
          <w:b/>
          <w:bCs/>
          <w:kern w:val="0"/>
          <w:sz w:val="22"/>
          <w:szCs w:val="22"/>
        </w:rPr>
        <w:t>2109848</w:t>
      </w:r>
    </w:p>
    <w:p w:rsidR="00DF1AE4" w:rsidRDefault="00EB6B94">
      <w:pPr>
        <w:widowControl/>
        <w:tabs>
          <w:tab w:val="left" w:pos="1304"/>
          <w:tab w:val="left" w:pos="1701"/>
        </w:tabs>
        <w:snapToGrid w:val="0"/>
        <w:spacing w:after="160" w:line="259" w:lineRule="auto"/>
        <w:ind w:left="1701" w:hanging="1701"/>
        <w:jc w:val="left"/>
        <w:rPr>
          <w:rFonts w:ascii="Arial" w:hAnsi="Arial" w:cs="Arial"/>
          <w:b/>
          <w:sz w:val="22"/>
          <w:szCs w:val="22"/>
        </w:rPr>
      </w:pPr>
      <w:proofErr w:type="gramStart"/>
      <w:r>
        <w:rPr>
          <w:rFonts w:ascii="Arial" w:eastAsia="Calibri" w:hAnsi="Arial" w:cs="Arial"/>
          <w:b/>
          <w:bCs/>
          <w:kern w:val="0"/>
          <w:sz w:val="22"/>
          <w:szCs w:val="22"/>
          <w:lang w:eastAsia="en-US"/>
        </w:rPr>
        <w:t>e-Meeting</w:t>
      </w:r>
      <w:proofErr w:type="gramEnd"/>
      <w:r>
        <w:rPr>
          <w:rFonts w:ascii="Arial" w:eastAsia="Calibri" w:hAnsi="Arial" w:cs="Arial"/>
          <w:b/>
          <w:bCs/>
          <w:kern w:val="0"/>
          <w:sz w:val="22"/>
          <w:szCs w:val="22"/>
          <w:lang w:eastAsia="en-US"/>
        </w:rPr>
        <w:t xml:space="preserve">, </w:t>
      </w:r>
      <w:r>
        <w:rPr>
          <w:rFonts w:ascii="Arial" w:eastAsia="Calibri" w:hAnsi="Arial" w:cs="Arial"/>
          <w:b/>
          <w:bCs/>
          <w:kern w:val="0"/>
          <w:sz w:val="22"/>
          <w:szCs w:val="22"/>
          <w:lang w:eastAsia="ja-JP"/>
        </w:rPr>
        <w:t>October 11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w:t>
      </w:r>
      <w:r>
        <w:rPr>
          <w:rFonts w:ascii="Arial" w:eastAsia="Calibri" w:hAnsi="Arial" w:cs="Arial"/>
          <w:b/>
          <w:bCs/>
          <w:kern w:val="0"/>
          <w:sz w:val="22"/>
          <w:szCs w:val="22"/>
          <w:lang w:eastAsia="ja-JP"/>
        </w:rPr>
        <w:t xml:space="preserve"> 19</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en-US"/>
        </w:rPr>
        <w:t>, 202</w:t>
      </w:r>
      <w:r>
        <w:rPr>
          <w:rFonts w:ascii="Arial" w:hAnsi="Arial" w:cs="Arial" w:hint="eastAsia"/>
          <w:b/>
          <w:bCs/>
          <w:kern w:val="0"/>
          <w:sz w:val="22"/>
          <w:szCs w:val="22"/>
        </w:rPr>
        <w:t>1</w:t>
      </w:r>
    </w:p>
    <w:p w:rsidR="00DF1AE4" w:rsidRDefault="00EB6B94">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DF1AE4" w:rsidRDefault="00EB6B94">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t</w:t>
      </w:r>
      <w:r>
        <w:rPr>
          <w:rFonts w:ascii="Arial" w:hAnsi="Arial" w:cs="Arial" w:hint="eastAsia"/>
          <w:b/>
          <w:sz w:val="22"/>
          <w:szCs w:val="22"/>
        </w:rPr>
        <w:t>iming</w:t>
      </w:r>
      <w:r>
        <w:rPr>
          <w:rFonts w:ascii="Arial" w:hAnsi="Arial" w:cs="Arial"/>
          <w:b/>
          <w:sz w:val="22"/>
          <w:szCs w:val="22"/>
        </w:rPr>
        <w:t xml:space="preserve"> </w:t>
      </w:r>
      <w:r>
        <w:rPr>
          <w:rFonts w:ascii="Arial" w:hAnsi="Arial" w:cs="Arial" w:hint="eastAsia"/>
          <w:b/>
          <w:sz w:val="22"/>
          <w:szCs w:val="22"/>
        </w:rPr>
        <w:t xml:space="preserve">relationship </w:t>
      </w:r>
      <w:r>
        <w:rPr>
          <w:rFonts w:ascii="Arial" w:hAnsi="Arial" w:cs="Arial"/>
          <w:b/>
          <w:sz w:val="22"/>
          <w:szCs w:val="22"/>
        </w:rPr>
        <w:t>for IoT-NTN</w:t>
      </w:r>
    </w:p>
    <w:p w:rsidR="00DF1AE4" w:rsidRDefault="00EB6B94">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2</w:t>
      </w:r>
    </w:p>
    <w:p w:rsidR="00DF1AE4" w:rsidRDefault="00EB6B94">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DF1AE4" w:rsidRDefault="00EB6B94">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DF1AE4" w:rsidRDefault="00EB6B94">
      <w:pPr>
        <w:adjustRightInd w:val="0"/>
        <w:snapToGrid w:val="0"/>
        <w:rPr>
          <w:i/>
          <w:iCs/>
          <w:sz w:val="20"/>
          <w:szCs w:val="20"/>
        </w:rPr>
      </w:pPr>
      <w:r>
        <w:rPr>
          <w:sz w:val="20"/>
          <w:szCs w:val="20"/>
        </w:rPr>
        <w:t xml:space="preserve">In </w:t>
      </w:r>
      <w:r>
        <w:rPr>
          <w:rFonts w:hint="eastAsia"/>
          <w:sz w:val="20"/>
          <w:szCs w:val="20"/>
        </w:rPr>
        <w:t>RAN1</w:t>
      </w:r>
      <w:r>
        <w:rPr>
          <w:sz w:val="20"/>
          <w:szCs w:val="20"/>
        </w:rPr>
        <w:t>#</w:t>
      </w:r>
      <w:r>
        <w:rPr>
          <w:rFonts w:hint="eastAsia"/>
          <w:sz w:val="20"/>
          <w:szCs w:val="20"/>
        </w:rPr>
        <w:t>106-e [1]</w:t>
      </w:r>
      <w:r>
        <w:rPr>
          <w:sz w:val="20"/>
          <w:szCs w:val="20"/>
        </w:rPr>
        <w:t>,</w:t>
      </w:r>
      <w:r>
        <w:rPr>
          <w:rFonts w:hint="eastAsia"/>
          <w:sz w:val="20"/>
          <w:szCs w:val="20"/>
        </w:rPr>
        <w:t xml:space="preserve"> </w:t>
      </w:r>
      <w:r>
        <w:rPr>
          <w:sz w:val="20"/>
          <w:szCs w:val="20"/>
        </w:rPr>
        <w:t>i</w:t>
      </w:r>
      <w:r>
        <w:rPr>
          <w:rFonts w:hint="eastAsia"/>
          <w:sz w:val="20"/>
          <w:szCs w:val="20"/>
        </w:rPr>
        <w:t>t was agreed to introduce K_offset for a lot of timing relationships of NB-IoT/eMTC</w:t>
      </w:r>
      <w:r>
        <w:rPr>
          <w:sz w:val="20"/>
          <w:szCs w:val="20"/>
        </w:rPr>
        <w:t xml:space="preserve"> as </w:t>
      </w:r>
      <w:r>
        <w:rPr>
          <w:rFonts w:hint="eastAsia"/>
          <w:sz w:val="20"/>
          <w:szCs w:val="20"/>
        </w:rPr>
        <w:t>identified in TR 36.763</w:t>
      </w:r>
      <w:r>
        <w:rPr>
          <w:sz w:val="20"/>
          <w:szCs w:val="20"/>
        </w:rPr>
        <w:t xml:space="preserve"> with support </w:t>
      </w:r>
      <w:r>
        <w:rPr>
          <w:rFonts w:hint="eastAsia"/>
          <w:sz w:val="20"/>
          <w:szCs w:val="20"/>
        </w:rPr>
        <w:t>of</w:t>
      </w:r>
      <w:r>
        <w:rPr>
          <w:rFonts w:ascii="Times" w:eastAsia="Batang" w:hAnsi="Times"/>
          <w:kern w:val="0"/>
          <w:sz w:val="20"/>
          <w:lang w:val="en-GB" w:eastAsia="en-US"/>
        </w:rPr>
        <w:t xml:space="preserve"> UE-specific Koffset in CONNECTED mode</w:t>
      </w:r>
      <w:r>
        <w:rPr>
          <w:rFonts w:ascii="Times" w:hAnsi="Times" w:hint="eastAsia"/>
          <w:kern w:val="0"/>
          <w:sz w:val="20"/>
        </w:rPr>
        <w:t xml:space="preserve">. </w:t>
      </w:r>
      <w:r>
        <w:rPr>
          <w:rFonts w:ascii="Times" w:hAnsi="Times"/>
          <w:kern w:val="0"/>
          <w:sz w:val="20"/>
        </w:rPr>
        <w:t>Meanwhile, the U</w:t>
      </w:r>
      <w:r>
        <w:rPr>
          <w:rFonts w:ascii="Times" w:eastAsia="Batang" w:hAnsi="Times"/>
          <w:kern w:val="0"/>
          <w:sz w:val="20"/>
          <w:lang w:val="en-GB" w:eastAsia="en-US"/>
        </w:rPr>
        <w:t>E-specific TA reporting</w:t>
      </w:r>
      <w:r>
        <w:rPr>
          <w:rFonts w:ascii="Times" w:hAnsi="Times" w:hint="eastAsia"/>
          <w:kern w:val="0"/>
          <w:sz w:val="20"/>
        </w:rPr>
        <w:t xml:space="preserve"> was </w:t>
      </w:r>
      <w:r>
        <w:rPr>
          <w:rFonts w:ascii="Times" w:hAnsi="Times"/>
          <w:kern w:val="0"/>
          <w:sz w:val="20"/>
        </w:rPr>
        <w:t>also agreed without consensus on the details.</w:t>
      </w:r>
      <w:r>
        <w:rPr>
          <w:rFonts w:ascii="Times" w:eastAsia="Batang" w:hAnsi="Times"/>
          <w:kern w:val="0"/>
          <w:sz w:val="20"/>
          <w:lang w:val="en-GB" w:eastAsia="en-US"/>
        </w:rPr>
        <w:t xml:space="preserve"> </w:t>
      </w:r>
    </w:p>
    <w:p w:rsidR="00DF1AE4" w:rsidRDefault="00EB6B94">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the </w:t>
      </w:r>
      <w:r>
        <w:rPr>
          <w:sz w:val="20"/>
          <w:szCs w:val="20"/>
        </w:rPr>
        <w:t>remaining</w:t>
      </w:r>
      <w:r>
        <w:rPr>
          <w:rFonts w:hint="eastAsia"/>
          <w:sz w:val="20"/>
          <w:szCs w:val="20"/>
        </w:rPr>
        <w:t xml:space="preserve"> timing relationships are discussed, e.g.,</w:t>
      </w:r>
      <w:r>
        <w:rPr>
          <w:sz w:val="20"/>
          <w:szCs w:val="20"/>
        </w:rPr>
        <w:t xml:space="preserve"> </w:t>
      </w:r>
      <w:r>
        <w:rPr>
          <w:rFonts w:hint="eastAsia"/>
          <w:sz w:val="20"/>
          <w:szCs w:val="20"/>
        </w:rPr>
        <w:t xml:space="preserve">PUSCH/NPUSCH using PUR, etc. </w:t>
      </w:r>
      <w:r>
        <w:rPr>
          <w:sz w:val="20"/>
          <w:szCs w:val="20"/>
        </w:rPr>
        <w:t xml:space="preserve">And the detailed views on </w:t>
      </w:r>
      <w:r>
        <w:rPr>
          <w:rFonts w:hint="eastAsia"/>
          <w:sz w:val="20"/>
          <w:szCs w:val="20"/>
        </w:rPr>
        <w:t xml:space="preserve">TA reporting are </w:t>
      </w:r>
      <w:r>
        <w:rPr>
          <w:sz w:val="20"/>
          <w:szCs w:val="20"/>
        </w:rPr>
        <w:t xml:space="preserve">proposed regarding the </w:t>
      </w:r>
      <w:r>
        <w:rPr>
          <w:rFonts w:hint="eastAsia"/>
          <w:sz w:val="20"/>
          <w:szCs w:val="20"/>
        </w:rPr>
        <w:t xml:space="preserve">content of TA, procedure of TA reporting. As to </w:t>
      </w:r>
      <w:r>
        <w:rPr>
          <w:sz w:val="20"/>
          <w:szCs w:val="20"/>
        </w:rPr>
        <w:t>UL-DL collisions</w:t>
      </w:r>
      <w:r>
        <w:rPr>
          <w:rFonts w:hint="eastAsia"/>
          <w:sz w:val="20"/>
          <w:szCs w:val="20"/>
        </w:rPr>
        <w:t xml:space="preserve"> for half duplex UE, the typical case of 2 HARQ processes is highlighted to clarify the necessary adaptation on applying large TA in NTN scenarios.</w:t>
      </w:r>
    </w:p>
    <w:p w:rsidR="00DF1AE4" w:rsidRDefault="00EB6B94">
      <w:pPr>
        <w:numPr>
          <w:ilvl w:val="0"/>
          <w:numId w:val="4"/>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rPr>
      </w:pPr>
      <w:r>
        <w:rPr>
          <w:rFonts w:ascii="Arial" w:eastAsia="黑体" w:hAnsi="Arial"/>
          <w:b/>
          <w:bCs/>
          <w:sz w:val="28"/>
          <w:szCs w:val="30"/>
        </w:rPr>
        <w:t>Discussion on r</w:t>
      </w:r>
      <w:r>
        <w:rPr>
          <w:rFonts w:ascii="Arial" w:eastAsia="黑体" w:hAnsi="Arial" w:hint="eastAsia"/>
          <w:b/>
          <w:bCs/>
          <w:sz w:val="28"/>
          <w:szCs w:val="30"/>
        </w:rPr>
        <w:t>emaining</w:t>
      </w:r>
      <w:r>
        <w:rPr>
          <w:rFonts w:ascii="Arial" w:eastAsia="黑体" w:hAnsi="Arial"/>
          <w:b/>
          <w:bCs/>
          <w:sz w:val="28"/>
          <w:szCs w:val="30"/>
        </w:rPr>
        <w:t xml:space="preserve"> t</w:t>
      </w:r>
      <w:r>
        <w:rPr>
          <w:rFonts w:ascii="Arial" w:eastAsia="黑体" w:hAnsi="Arial" w:hint="eastAsia"/>
          <w:b/>
          <w:bCs/>
          <w:sz w:val="28"/>
          <w:szCs w:val="30"/>
        </w:rPr>
        <w:t>ime relationships</w:t>
      </w:r>
    </w:p>
    <w:p w:rsidR="00DF1AE4" w:rsidRDefault="00EB6B94">
      <w:pPr>
        <w:adjustRightInd w:val="0"/>
        <w:snapToGrid w:val="0"/>
        <w:spacing w:beforeLines="50" w:before="156" w:afterLines="50" w:after="156"/>
        <w:rPr>
          <w:sz w:val="20"/>
          <w:szCs w:val="20"/>
        </w:rPr>
      </w:pPr>
      <w:r>
        <w:rPr>
          <w:rFonts w:hint="eastAsia"/>
          <w:sz w:val="20"/>
          <w:szCs w:val="20"/>
        </w:rPr>
        <w:t>I</w:t>
      </w:r>
      <w:r>
        <w:rPr>
          <w:sz w:val="20"/>
          <w:szCs w:val="20"/>
        </w:rPr>
        <w:t xml:space="preserve">n this section, </w:t>
      </w:r>
      <w:r>
        <w:rPr>
          <w:rFonts w:hint="eastAsia"/>
          <w:sz w:val="20"/>
          <w:szCs w:val="20"/>
        </w:rPr>
        <w:t>both timing relationships and indication/updates of K_offset/</w:t>
      </w:r>
      <w:proofErr w:type="spellStart"/>
      <w:r>
        <w:rPr>
          <w:rFonts w:hint="eastAsia"/>
          <w:sz w:val="20"/>
          <w:szCs w:val="20"/>
        </w:rPr>
        <w:t>Kmac</w:t>
      </w:r>
      <w:proofErr w:type="spellEnd"/>
      <w:r>
        <w:rPr>
          <w:rFonts w:hint="eastAsia"/>
          <w:sz w:val="20"/>
          <w:szCs w:val="20"/>
        </w:rPr>
        <w:t xml:space="preserve"> are discussed.</w:t>
      </w:r>
    </w:p>
    <w:p w:rsidR="00DF1AE4" w:rsidRDefault="00EB6B94">
      <w:pPr>
        <w:numPr>
          <w:ilvl w:val="0"/>
          <w:numId w:val="5"/>
        </w:numPr>
        <w:adjustRightInd w:val="0"/>
        <w:snapToGrid w:val="0"/>
        <w:spacing w:beforeLines="50" w:before="156" w:afterLines="50" w:after="156"/>
        <w:rPr>
          <w:sz w:val="20"/>
          <w:szCs w:val="20"/>
        </w:rPr>
      </w:pPr>
      <w:r>
        <w:rPr>
          <w:rFonts w:hint="eastAsia"/>
          <w:sz w:val="20"/>
          <w:szCs w:val="20"/>
        </w:rPr>
        <w:t>PUSCH/NPUSCH using PUR</w:t>
      </w:r>
    </w:p>
    <w:p w:rsidR="00DF1AE4" w:rsidRDefault="00EB6B94">
      <w:pPr>
        <w:adjustRightInd w:val="0"/>
        <w:snapToGrid w:val="0"/>
        <w:spacing w:beforeLines="50" w:before="156" w:afterLines="50" w:after="156"/>
        <w:rPr>
          <w:sz w:val="20"/>
          <w:szCs w:val="20"/>
        </w:rPr>
      </w:pPr>
      <w:r>
        <w:rPr>
          <w:rFonts w:hint="eastAsia"/>
          <w:sz w:val="20"/>
          <w:szCs w:val="20"/>
        </w:rPr>
        <w:t xml:space="preserve">The necessity of supporting PUR in IoT-NTN and corresponding issues especially for LEO satellite scenarios are </w:t>
      </w:r>
      <w:r>
        <w:rPr>
          <w:sz w:val="20"/>
          <w:szCs w:val="20"/>
        </w:rPr>
        <w:t>justified</w:t>
      </w:r>
      <w:r>
        <w:rPr>
          <w:rFonts w:hint="eastAsia"/>
          <w:sz w:val="20"/>
          <w:szCs w:val="20"/>
        </w:rPr>
        <w:t xml:space="preserve"> in our</w:t>
      </w:r>
      <w:r>
        <w:rPr>
          <w:sz w:val="20"/>
          <w:szCs w:val="20"/>
        </w:rPr>
        <w:t xml:space="preserve"> </w:t>
      </w:r>
      <w:r w:rsidR="00305953">
        <w:rPr>
          <w:sz w:val="20"/>
          <w:szCs w:val="20"/>
        </w:rPr>
        <w:t>contribution [</w:t>
      </w:r>
      <w:r>
        <w:rPr>
          <w:rFonts w:hint="eastAsia"/>
          <w:sz w:val="20"/>
          <w:szCs w:val="20"/>
        </w:rPr>
        <w:t>2]</w:t>
      </w:r>
      <w:r>
        <w:rPr>
          <w:sz w:val="20"/>
          <w:szCs w:val="20"/>
        </w:rPr>
        <w:t xml:space="preserve"> with analysis on </w:t>
      </w:r>
      <w:r>
        <w:rPr>
          <w:rFonts w:hint="eastAsia"/>
          <w:sz w:val="20"/>
          <w:szCs w:val="20"/>
        </w:rPr>
        <w:t>the impact of TA validation, and configuration of resource.</w:t>
      </w:r>
    </w:p>
    <w:p w:rsidR="00DF1AE4" w:rsidRDefault="00EB6B94">
      <w:pPr>
        <w:adjustRightInd w:val="0"/>
        <w:snapToGrid w:val="0"/>
        <w:spacing w:beforeLines="50" w:before="156" w:afterLines="50" w:after="156"/>
        <w:rPr>
          <w:rFonts w:eastAsia="Times New Roman"/>
          <w:kern w:val="0"/>
          <w:sz w:val="20"/>
          <w:szCs w:val="20"/>
        </w:rPr>
      </w:pPr>
      <w:r>
        <w:rPr>
          <w:sz w:val="20"/>
          <w:szCs w:val="20"/>
        </w:rPr>
        <w:t>Based on the existing spec as shown below,</w:t>
      </w:r>
      <w:r>
        <w:rPr>
          <w:rFonts w:hint="eastAsia"/>
          <w:kern w:val="0"/>
          <w:sz w:val="20"/>
          <w:szCs w:val="20"/>
        </w:rPr>
        <w:t xml:space="preserve"> it can be found that UE starts the PUR response window from the end of PUSCH transmission plus 4 subframes [3]. For IoT-NTN, </w:t>
      </w:r>
      <w:r>
        <w:rPr>
          <w:rFonts w:hint="eastAsia"/>
          <w:sz w:val="20"/>
          <w:szCs w:val="20"/>
        </w:rPr>
        <w:t xml:space="preserve">given the UL-DL frame timing shift (i.e. the offset is the value of large TA) at UE side, the start or restart of </w:t>
      </w:r>
      <w:proofErr w:type="spellStart"/>
      <w:r>
        <w:rPr>
          <w:rFonts w:hint="eastAsia"/>
          <w:sz w:val="20"/>
          <w:szCs w:val="20"/>
        </w:rPr>
        <w:t>pur-ResponseWindowTimer</w:t>
      </w:r>
      <w:proofErr w:type="spellEnd"/>
      <w:r>
        <w:rPr>
          <w:rFonts w:hint="eastAsia"/>
          <w:sz w:val="20"/>
          <w:szCs w:val="20"/>
        </w:rPr>
        <w:t xml:space="preserve"> should be delayed with K_offset. </w:t>
      </w:r>
      <w:r>
        <w:rPr>
          <w:rFonts w:eastAsia="Times New Roman" w:hint="eastAsia"/>
          <w:kern w:val="0"/>
          <w:sz w:val="20"/>
          <w:szCs w:val="20"/>
        </w:rPr>
        <w:t xml:space="preserve"> </w:t>
      </w:r>
    </w:p>
    <w:p w:rsidR="00DF1AE4" w:rsidRDefault="00EB6B94">
      <w:pPr>
        <w:widowControl/>
        <w:overflowPunct w:val="0"/>
        <w:autoSpaceDE w:val="0"/>
        <w:autoSpaceDN w:val="0"/>
        <w:adjustRightInd w:val="0"/>
        <w:jc w:val="left"/>
        <w:textAlignment w:val="baseline"/>
        <w:rPr>
          <w:rFonts w:eastAsia="Times New Roman"/>
          <w:i/>
          <w:iCs/>
          <w:kern w:val="0"/>
          <w:sz w:val="20"/>
          <w:szCs w:val="20"/>
        </w:rPr>
      </w:pPr>
      <w:r>
        <w:rPr>
          <w:rFonts w:eastAsia="Times New Roman" w:hint="eastAsia"/>
          <w:i/>
          <w:iCs/>
          <w:kern w:val="0"/>
          <w:sz w:val="20"/>
          <w:szCs w:val="20"/>
        </w:rPr>
        <w:t xml:space="preserve">------ </w:t>
      </w:r>
      <w:proofErr w:type="gramStart"/>
      <w:r>
        <w:rPr>
          <w:rFonts w:eastAsia="Times New Roman" w:hint="eastAsia"/>
          <w:i/>
          <w:iCs/>
          <w:kern w:val="0"/>
          <w:sz w:val="20"/>
          <w:szCs w:val="20"/>
        </w:rPr>
        <w:t>omit</w:t>
      </w:r>
      <w:proofErr w:type="gramEnd"/>
      <w:r>
        <w:rPr>
          <w:rFonts w:eastAsia="Times New Roman" w:hint="eastAsia"/>
          <w:i/>
          <w:iCs/>
          <w:kern w:val="0"/>
          <w:sz w:val="20"/>
          <w:szCs w:val="20"/>
        </w:rPr>
        <w:t xml:space="preserve"> part-----</w:t>
      </w:r>
    </w:p>
    <w:p w:rsidR="00DF1AE4" w:rsidRDefault="00EB6B94">
      <w:pPr>
        <w:widowControl/>
        <w:overflowPunct w:val="0"/>
        <w:autoSpaceDE w:val="0"/>
        <w:autoSpaceDN w:val="0"/>
        <w:adjustRightInd w:val="0"/>
        <w:jc w:val="left"/>
        <w:textAlignment w:val="baseline"/>
        <w:rPr>
          <w:rFonts w:eastAsia="Times New Roman"/>
          <w:i/>
          <w:iCs/>
          <w:kern w:val="0"/>
          <w:sz w:val="20"/>
          <w:szCs w:val="20"/>
          <w:lang w:val="en-GB" w:eastAsia="ja-JP"/>
        </w:rPr>
      </w:pPr>
      <w:r>
        <w:rPr>
          <w:rFonts w:eastAsia="Times New Roman"/>
          <w:i/>
          <w:iCs/>
          <w:kern w:val="0"/>
          <w:sz w:val="20"/>
          <w:szCs w:val="20"/>
          <w:lang w:val="en-GB" w:eastAsia="ja-JP"/>
        </w:rPr>
        <w:t xml:space="preserve">After transmission using PUR, the MAC entity shall monitor PDCCH identified by PUR-RNTI in the PUR response window using timer </w:t>
      </w:r>
      <w:proofErr w:type="spellStart"/>
      <w:r>
        <w:rPr>
          <w:rFonts w:eastAsia="Times New Roman"/>
          <w:i/>
          <w:iCs/>
          <w:kern w:val="0"/>
          <w:sz w:val="20"/>
          <w:szCs w:val="20"/>
          <w:lang w:val="en-GB" w:eastAsia="ja-JP"/>
        </w:rPr>
        <w:t>pur-ResponseWindowTimer</w:t>
      </w:r>
      <w:proofErr w:type="spellEnd"/>
      <w:r>
        <w:rPr>
          <w:rFonts w:eastAsia="Times New Roman"/>
          <w:i/>
          <w:iCs/>
          <w:kern w:val="0"/>
          <w:sz w:val="20"/>
          <w:szCs w:val="20"/>
          <w:lang w:val="en-GB" w:eastAsia="ja-JP"/>
        </w:rPr>
        <w:t xml:space="preserve">, which starts at the subframe that contains the end of the corresponding PUSCH transmission plus 4 subframes, and has the length </w:t>
      </w:r>
      <w:proofErr w:type="spellStart"/>
      <w:r>
        <w:rPr>
          <w:rFonts w:eastAsia="Times New Roman"/>
          <w:i/>
          <w:iCs/>
          <w:kern w:val="0"/>
          <w:sz w:val="20"/>
          <w:szCs w:val="20"/>
          <w:lang w:val="en-GB" w:eastAsia="ja-JP"/>
        </w:rPr>
        <w:t>pur-ResponseWindowSize</w:t>
      </w:r>
      <w:proofErr w:type="spellEnd"/>
      <w:r>
        <w:rPr>
          <w:rFonts w:eastAsia="Times New Roman"/>
          <w:i/>
          <w:iCs/>
          <w:kern w:val="0"/>
          <w:sz w:val="20"/>
          <w:szCs w:val="20"/>
          <w:lang w:val="en-GB" w:eastAsia="ja-JP"/>
        </w:rPr>
        <w:t xml:space="preserve">. While </w:t>
      </w:r>
      <w:proofErr w:type="spellStart"/>
      <w:r>
        <w:rPr>
          <w:rFonts w:eastAsia="Times New Roman"/>
          <w:i/>
          <w:iCs/>
          <w:kern w:val="0"/>
          <w:sz w:val="20"/>
          <w:szCs w:val="20"/>
          <w:lang w:val="en-GB" w:eastAsia="ja-JP"/>
        </w:rPr>
        <w:t>pur-ResponseWindowTimer</w:t>
      </w:r>
      <w:proofErr w:type="spellEnd"/>
      <w:r>
        <w:rPr>
          <w:rFonts w:eastAsia="Times New Roman"/>
          <w:i/>
          <w:iCs/>
          <w:kern w:val="0"/>
          <w:sz w:val="20"/>
          <w:szCs w:val="20"/>
          <w:lang w:val="en-GB" w:eastAsia="ja-JP"/>
        </w:rPr>
        <w:t xml:space="preserve"> is running, the MAC entity shall:</w:t>
      </w:r>
    </w:p>
    <w:p w:rsidR="00DF1AE4" w:rsidRDefault="00EB6B94">
      <w:pPr>
        <w:widowControl/>
        <w:overflowPunct w:val="0"/>
        <w:autoSpaceDE w:val="0"/>
        <w:autoSpaceDN w:val="0"/>
        <w:adjustRightInd w:val="0"/>
        <w:ind w:left="568" w:hanging="284"/>
        <w:textAlignment w:val="baseline"/>
        <w:rPr>
          <w:rFonts w:eastAsia="Times New Roman"/>
          <w:i/>
          <w:iCs/>
          <w:lang w:val="en-GB" w:eastAsia="ja-JP"/>
        </w:rPr>
      </w:pPr>
      <w:r>
        <w:rPr>
          <w:rFonts w:eastAsia="Times New Roman"/>
          <w:i/>
          <w:iCs/>
          <w:lang w:val="en-GB" w:eastAsia="ja-JP"/>
        </w:rPr>
        <w:t>-</w:t>
      </w:r>
      <w:r>
        <w:rPr>
          <w:rFonts w:eastAsia="Times New Roman"/>
          <w:i/>
          <w:iCs/>
          <w:lang w:val="en-GB" w:eastAsia="ja-JP"/>
        </w:rPr>
        <w:tab/>
      </w:r>
      <w:proofErr w:type="gramStart"/>
      <w:r>
        <w:rPr>
          <w:rFonts w:eastAsia="Times New Roman"/>
          <w:i/>
          <w:iCs/>
          <w:lang w:val="en-GB" w:eastAsia="ja-JP"/>
        </w:rPr>
        <w:t>if</w:t>
      </w:r>
      <w:proofErr w:type="gramEnd"/>
      <w:r>
        <w:rPr>
          <w:rFonts w:eastAsia="Times New Roman"/>
          <w:i/>
          <w:iCs/>
          <w:lang w:val="en-GB" w:eastAsia="ja-JP"/>
        </w:rPr>
        <w:t xml:space="preserve"> the PDCCH transmission is addressed to the PUR-RNTI and contains an UL grant for a retransmission:</w:t>
      </w:r>
    </w:p>
    <w:p w:rsidR="00DF1AE4" w:rsidRDefault="00EB6B94">
      <w:pPr>
        <w:widowControl/>
        <w:overflowPunct w:val="0"/>
        <w:autoSpaceDE w:val="0"/>
        <w:autoSpaceDN w:val="0"/>
        <w:adjustRightInd w:val="0"/>
        <w:ind w:left="851" w:hanging="284"/>
        <w:textAlignment w:val="baseline"/>
        <w:rPr>
          <w:rFonts w:eastAsia="Times New Roman"/>
          <w:i/>
          <w:iCs/>
          <w:highlight w:val="yellow"/>
          <w:lang w:val="en-GB" w:eastAsia="ja-JP"/>
        </w:rPr>
      </w:pPr>
      <w:r>
        <w:rPr>
          <w:rFonts w:eastAsia="Times New Roman"/>
          <w:i/>
          <w:iCs/>
          <w:lang w:val="en-GB" w:eastAsia="ja-JP"/>
        </w:rPr>
        <w:t>-</w:t>
      </w:r>
      <w:r>
        <w:rPr>
          <w:rFonts w:eastAsia="Times New Roman"/>
          <w:i/>
          <w:iCs/>
          <w:lang w:val="en-GB" w:eastAsia="ja-JP"/>
        </w:rPr>
        <w:tab/>
        <w:t xml:space="preserve">restart </w:t>
      </w:r>
      <w:proofErr w:type="spellStart"/>
      <w:r>
        <w:rPr>
          <w:rFonts w:eastAsia="Times New Roman"/>
          <w:i/>
          <w:iCs/>
          <w:lang w:val="en-GB" w:eastAsia="ja-JP"/>
        </w:rPr>
        <w:t>pur-ResponseWindowTimer</w:t>
      </w:r>
      <w:proofErr w:type="spellEnd"/>
      <w:r>
        <w:rPr>
          <w:rFonts w:eastAsia="Times New Roman"/>
          <w:i/>
          <w:iCs/>
          <w:lang w:val="en-GB" w:eastAsia="ja-JP"/>
        </w:rPr>
        <w:t xml:space="preserve"> at the last subframe of a PUSCH transmission corresponding to the retransmission indicated by the UL grant plus 4 subframes.</w:t>
      </w:r>
    </w:p>
    <w:p w:rsidR="00DF1AE4" w:rsidRDefault="00EB6B94">
      <w:pPr>
        <w:widowControl/>
        <w:overflowPunct w:val="0"/>
        <w:autoSpaceDE w:val="0"/>
        <w:autoSpaceDN w:val="0"/>
        <w:adjustRightInd w:val="0"/>
        <w:jc w:val="left"/>
        <w:textAlignment w:val="baseline"/>
        <w:rPr>
          <w:rFonts w:eastAsia="Times New Roman"/>
          <w:i/>
          <w:iCs/>
          <w:kern w:val="0"/>
          <w:sz w:val="20"/>
          <w:szCs w:val="20"/>
        </w:rPr>
      </w:pPr>
      <w:r>
        <w:rPr>
          <w:rFonts w:eastAsia="Times New Roman" w:hint="eastAsia"/>
          <w:i/>
          <w:iCs/>
          <w:kern w:val="0"/>
          <w:sz w:val="20"/>
          <w:szCs w:val="20"/>
        </w:rPr>
        <w:t xml:space="preserve">----- </w:t>
      </w:r>
      <w:proofErr w:type="gramStart"/>
      <w:r>
        <w:rPr>
          <w:rFonts w:eastAsia="Times New Roman" w:hint="eastAsia"/>
          <w:i/>
          <w:iCs/>
          <w:kern w:val="0"/>
          <w:sz w:val="20"/>
          <w:szCs w:val="20"/>
        </w:rPr>
        <w:t>omit</w:t>
      </w:r>
      <w:proofErr w:type="gramEnd"/>
      <w:r>
        <w:rPr>
          <w:rFonts w:eastAsia="Times New Roman" w:hint="eastAsia"/>
          <w:i/>
          <w:iCs/>
          <w:kern w:val="0"/>
          <w:sz w:val="20"/>
          <w:szCs w:val="20"/>
        </w:rPr>
        <w:t xml:space="preserve"> part --------</w:t>
      </w:r>
    </w:p>
    <w:p w:rsidR="00DF1AE4" w:rsidRDefault="00EB6B94">
      <w:pPr>
        <w:adjustRightInd w:val="0"/>
        <w:snapToGrid w:val="0"/>
        <w:spacing w:beforeLines="50" w:before="156" w:afterLines="50" w:after="156"/>
        <w:rPr>
          <w:i/>
          <w:iCs/>
          <w:sz w:val="20"/>
          <w:szCs w:val="20"/>
        </w:rPr>
      </w:pPr>
      <w:r>
        <w:rPr>
          <w:rFonts w:hint="eastAsia"/>
          <w:b/>
          <w:bCs/>
          <w:i/>
          <w:iCs/>
          <w:sz w:val="20"/>
          <w:szCs w:val="20"/>
        </w:rPr>
        <w:t>Proposal-1:</w:t>
      </w:r>
      <w:r>
        <w:rPr>
          <w:rFonts w:hint="eastAsia"/>
          <w:i/>
          <w:iCs/>
          <w:sz w:val="20"/>
          <w:szCs w:val="20"/>
        </w:rPr>
        <w:t xml:space="preserve"> For NB-IoT/eMTC over NTN, start or restart of </w:t>
      </w:r>
      <w:proofErr w:type="spellStart"/>
      <w:r>
        <w:rPr>
          <w:rFonts w:hint="eastAsia"/>
          <w:i/>
          <w:iCs/>
          <w:sz w:val="20"/>
          <w:szCs w:val="20"/>
        </w:rPr>
        <w:t>pur-ResponseWindowTimer</w:t>
      </w:r>
      <w:proofErr w:type="spellEnd"/>
      <w:r>
        <w:rPr>
          <w:rFonts w:hint="eastAsia"/>
          <w:i/>
          <w:iCs/>
          <w:sz w:val="20"/>
          <w:szCs w:val="20"/>
        </w:rPr>
        <w:t xml:space="preserve"> should be delayed with K_offset.</w:t>
      </w:r>
    </w:p>
    <w:p w:rsidR="00DF1AE4" w:rsidRDefault="00EB6B94">
      <w:pPr>
        <w:numPr>
          <w:ilvl w:val="0"/>
          <w:numId w:val="5"/>
        </w:numPr>
        <w:adjustRightInd w:val="0"/>
        <w:snapToGrid w:val="0"/>
        <w:spacing w:beforeLines="50" w:before="156" w:afterLines="50" w:after="156"/>
        <w:rPr>
          <w:sz w:val="20"/>
          <w:szCs w:val="20"/>
        </w:rPr>
      </w:pPr>
      <w:r>
        <w:rPr>
          <w:rFonts w:hint="eastAsia"/>
          <w:sz w:val="20"/>
          <w:szCs w:val="20"/>
        </w:rPr>
        <w:t>PDCCH order to NPRACH (for NB-IoT/eMTC)</w:t>
      </w:r>
    </w:p>
    <w:p w:rsidR="00DF1AE4" w:rsidRDefault="00EB6B94">
      <w:pPr>
        <w:pStyle w:val="af2"/>
        <w:adjustRightInd w:val="0"/>
        <w:snapToGrid w:val="0"/>
        <w:spacing w:beforeLines="50" w:before="156" w:afterLines="50" w:after="156"/>
        <w:ind w:firstLineChars="0" w:firstLine="0"/>
        <w:rPr>
          <w:sz w:val="20"/>
          <w:szCs w:val="20"/>
        </w:rPr>
      </w:pPr>
      <w:r>
        <w:rPr>
          <w:rFonts w:hint="eastAsia"/>
          <w:sz w:val="20"/>
          <w:szCs w:val="20"/>
        </w:rPr>
        <w:t xml:space="preserve">In RAN1#106-e meeting, it was agreed to introduce K_offset to determine the next available PRACH occasion for UL transmission of the </w:t>
      </w:r>
      <w:r>
        <w:rPr>
          <w:sz w:val="20"/>
          <w:szCs w:val="20"/>
        </w:rPr>
        <w:t xml:space="preserve">PDCCH </w:t>
      </w:r>
      <w:r>
        <w:rPr>
          <w:rFonts w:hint="eastAsia"/>
          <w:sz w:val="20"/>
          <w:szCs w:val="20"/>
        </w:rPr>
        <w:t>ordered PRACH</w:t>
      </w:r>
      <w:r>
        <w:rPr>
          <w:sz w:val="20"/>
          <w:szCs w:val="20"/>
        </w:rPr>
        <w:t xml:space="preserve"> in NR-NTN</w:t>
      </w:r>
      <w:r>
        <w:rPr>
          <w:rFonts w:hint="eastAsia"/>
          <w:sz w:val="20"/>
          <w:szCs w:val="20"/>
        </w:rPr>
        <w:t xml:space="preserve">. </w:t>
      </w:r>
      <w:r>
        <w:rPr>
          <w:sz w:val="20"/>
          <w:szCs w:val="20"/>
        </w:rPr>
        <w:t>Then, similar conclusion can be reused for IoT-NTN case.</w:t>
      </w:r>
    </w:p>
    <w:p w:rsidR="00DF1AE4" w:rsidRDefault="00EB6B94">
      <w:pPr>
        <w:pStyle w:val="af2"/>
        <w:adjustRightInd w:val="0"/>
        <w:snapToGrid w:val="0"/>
        <w:spacing w:beforeLines="50" w:before="156" w:afterLines="50" w:after="156"/>
        <w:ind w:firstLineChars="0" w:firstLine="0"/>
        <w:rPr>
          <w:i/>
          <w:iCs/>
          <w:sz w:val="20"/>
          <w:szCs w:val="20"/>
        </w:rPr>
      </w:pPr>
      <w:r>
        <w:rPr>
          <w:rFonts w:hint="eastAsia"/>
          <w:b/>
          <w:bCs/>
          <w:i/>
          <w:iCs/>
          <w:sz w:val="20"/>
          <w:szCs w:val="20"/>
        </w:rPr>
        <w:t>Proposal-2:</w:t>
      </w:r>
      <w:r>
        <w:rPr>
          <w:rFonts w:hint="eastAsia"/>
          <w:i/>
          <w:iCs/>
          <w:sz w:val="20"/>
          <w:szCs w:val="20"/>
        </w:rPr>
        <w:t xml:space="preserve"> For NB-IoT/eMTC over NTN, introduce K_offset</w:t>
      </w:r>
      <w:r>
        <w:rPr>
          <w:i/>
          <w:iCs/>
          <w:sz w:val="20"/>
          <w:szCs w:val="20"/>
        </w:rPr>
        <w:t xml:space="preserve"> to enhance the</w:t>
      </w:r>
      <w:r>
        <w:rPr>
          <w:rFonts w:hint="eastAsia"/>
          <w:i/>
          <w:iCs/>
          <w:sz w:val="20"/>
          <w:szCs w:val="20"/>
        </w:rPr>
        <w:t xml:space="preserve"> timing of PDCCH order to PRACH.</w:t>
      </w:r>
    </w:p>
    <w:p w:rsidR="00DF1AE4" w:rsidRDefault="00EB6B94">
      <w:pPr>
        <w:numPr>
          <w:ilvl w:val="0"/>
          <w:numId w:val="5"/>
        </w:numPr>
        <w:adjustRightInd w:val="0"/>
        <w:snapToGrid w:val="0"/>
        <w:spacing w:beforeLines="50" w:before="156" w:afterLines="50" w:after="156"/>
        <w:rPr>
          <w:sz w:val="20"/>
          <w:szCs w:val="20"/>
        </w:rPr>
      </w:pPr>
      <w:r>
        <w:rPr>
          <w:rFonts w:hint="eastAsia"/>
          <w:sz w:val="20"/>
          <w:szCs w:val="20"/>
        </w:rPr>
        <w:t>Preamble retransmission (for NB-IoT/eMTC)</w:t>
      </w:r>
    </w:p>
    <w:p w:rsidR="00DF1AE4" w:rsidRDefault="00EB6B94">
      <w:pPr>
        <w:adjustRightInd w:val="0"/>
        <w:snapToGrid w:val="0"/>
        <w:spacing w:beforeLines="50" w:before="156" w:afterLines="50" w:after="156"/>
        <w:rPr>
          <w:sz w:val="20"/>
          <w:szCs w:val="20"/>
        </w:rPr>
      </w:pPr>
      <w:r>
        <w:rPr>
          <w:rFonts w:hint="eastAsia"/>
          <w:sz w:val="20"/>
          <w:szCs w:val="20"/>
        </w:rPr>
        <w:t>The point is to clarify the understanding on the timing in legacy specification [4]. For example for NB-</w:t>
      </w:r>
      <w:r>
        <w:rPr>
          <w:rFonts w:hint="eastAsia"/>
          <w:sz w:val="20"/>
          <w:szCs w:val="20"/>
        </w:rPr>
        <w:lastRenderedPageBreak/>
        <w:t xml:space="preserve">IoT, </w:t>
      </w:r>
      <w:r>
        <w:rPr>
          <w:sz w:val="20"/>
          <w:szCs w:val="20"/>
        </w:rPr>
        <w:t xml:space="preserve">assuming that </w:t>
      </w:r>
      <w:r>
        <w:rPr>
          <w:rFonts w:hint="eastAsia"/>
          <w:sz w:val="20"/>
          <w:szCs w:val="20"/>
        </w:rPr>
        <w:t>TA is not taken into account</w:t>
      </w:r>
      <w:r>
        <w:rPr>
          <w:sz w:val="20"/>
          <w:szCs w:val="20"/>
        </w:rPr>
        <w:t xml:space="preserve"> and the </w:t>
      </w:r>
      <w:r>
        <w:rPr>
          <w:rFonts w:hint="eastAsia"/>
          <w:sz w:val="20"/>
          <w:szCs w:val="20"/>
        </w:rPr>
        <w:t xml:space="preserve">UE </w:t>
      </w:r>
      <w:r>
        <w:rPr>
          <w:sz w:val="20"/>
          <w:szCs w:val="20"/>
        </w:rPr>
        <w:t xml:space="preserve">will conduct the preamble retransmission in </w:t>
      </w:r>
      <w:r>
        <w:rPr>
          <w:rFonts w:hint="eastAsia"/>
          <w:sz w:val="20"/>
          <w:szCs w:val="20"/>
        </w:rPr>
        <w:t xml:space="preserve">UL subframe # n+12 </w:t>
      </w:r>
      <w:r>
        <w:rPr>
          <w:sz w:val="20"/>
          <w:szCs w:val="20"/>
        </w:rPr>
        <w:t xml:space="preserve">with the </w:t>
      </w:r>
      <w:r>
        <w:rPr>
          <w:rFonts w:hint="eastAsia"/>
          <w:sz w:val="20"/>
          <w:szCs w:val="20"/>
        </w:rPr>
        <w:t>received RAR ending in subframe n</w:t>
      </w:r>
      <w:r>
        <w:rPr>
          <w:sz w:val="20"/>
          <w:szCs w:val="20"/>
        </w:rPr>
        <w:t xml:space="preserve">. </w:t>
      </w:r>
      <w:r>
        <w:rPr>
          <w:rFonts w:hint="eastAsia"/>
          <w:sz w:val="20"/>
          <w:szCs w:val="20"/>
        </w:rPr>
        <w:t xml:space="preserve">However, with consideration that a UE transmits a preamble in actual UL subframe index #, </w:t>
      </w:r>
      <w:r w:rsidR="00305953">
        <w:rPr>
          <w:sz w:val="20"/>
          <w:szCs w:val="20"/>
        </w:rPr>
        <w:t>i.e., in</w:t>
      </w:r>
      <w:r>
        <w:rPr>
          <w:rFonts w:hint="eastAsia"/>
          <w:sz w:val="20"/>
          <w:szCs w:val="20"/>
        </w:rPr>
        <w:t xml:space="preserve"> fact large TA is performed by UE for this transmission, then</w:t>
      </w:r>
      <w:r>
        <w:rPr>
          <w:sz w:val="20"/>
          <w:szCs w:val="20"/>
        </w:rPr>
        <w:t xml:space="preserve"> the</w:t>
      </w:r>
      <w:r>
        <w:rPr>
          <w:rFonts w:hint="eastAsia"/>
          <w:sz w:val="20"/>
          <w:szCs w:val="20"/>
        </w:rPr>
        <w:t xml:space="preserve"> enhancement is needed. </w:t>
      </w:r>
    </w:p>
    <w:p w:rsidR="00DF1AE4" w:rsidRDefault="00EB6B94">
      <w:pPr>
        <w:pStyle w:val="af2"/>
        <w:adjustRightInd w:val="0"/>
        <w:snapToGrid w:val="0"/>
        <w:spacing w:beforeLines="50" w:before="156" w:afterLines="50" w:after="156"/>
        <w:ind w:firstLineChars="0" w:firstLine="0"/>
        <w:rPr>
          <w:i/>
          <w:iCs/>
          <w:sz w:val="20"/>
          <w:szCs w:val="20"/>
        </w:rPr>
      </w:pPr>
      <w:r>
        <w:rPr>
          <w:rFonts w:hint="eastAsia"/>
          <w:b/>
          <w:bCs/>
          <w:i/>
          <w:iCs/>
          <w:sz w:val="20"/>
          <w:szCs w:val="20"/>
        </w:rPr>
        <w:t>Proposal-3:</w:t>
      </w:r>
      <w:r>
        <w:rPr>
          <w:rFonts w:hint="eastAsia"/>
          <w:i/>
          <w:iCs/>
          <w:sz w:val="20"/>
          <w:szCs w:val="20"/>
        </w:rPr>
        <w:t xml:space="preserve"> For NB-IoT/eMTC over NTN, introduce K_offset to enhance the timing of preamble retransmission.</w:t>
      </w:r>
    </w:p>
    <w:p w:rsidR="00DF1AE4" w:rsidRDefault="00EB6B94">
      <w:pPr>
        <w:numPr>
          <w:ilvl w:val="0"/>
          <w:numId w:val="5"/>
        </w:numPr>
        <w:adjustRightInd w:val="0"/>
        <w:snapToGrid w:val="0"/>
        <w:spacing w:beforeLines="50" w:before="156" w:afterLines="50" w:after="156"/>
        <w:rPr>
          <w:sz w:val="20"/>
          <w:szCs w:val="20"/>
        </w:rPr>
      </w:pPr>
      <w:r>
        <w:rPr>
          <w:rFonts w:hint="eastAsia"/>
          <w:sz w:val="20"/>
          <w:szCs w:val="20"/>
        </w:rPr>
        <w:t>Indication/updates of K_offset/</w:t>
      </w:r>
      <w:proofErr w:type="spellStart"/>
      <w:r>
        <w:rPr>
          <w:rFonts w:hint="eastAsia"/>
          <w:sz w:val="20"/>
          <w:szCs w:val="20"/>
        </w:rPr>
        <w:t>Kmac</w:t>
      </w:r>
      <w:proofErr w:type="spellEnd"/>
    </w:p>
    <w:p w:rsidR="00DF1AE4" w:rsidRDefault="00EB6B94">
      <w:pPr>
        <w:adjustRightInd w:val="0"/>
        <w:snapToGrid w:val="0"/>
        <w:spacing w:beforeLines="50" w:before="156" w:afterLines="50" w:after="156"/>
        <w:rPr>
          <w:sz w:val="20"/>
          <w:szCs w:val="20"/>
        </w:rPr>
      </w:pPr>
      <w:r>
        <w:rPr>
          <w:rFonts w:hint="eastAsia"/>
          <w:sz w:val="20"/>
          <w:szCs w:val="20"/>
        </w:rPr>
        <w:t xml:space="preserve">Basically, the initial signalling of K_offset and/or </w:t>
      </w:r>
      <w:proofErr w:type="spellStart"/>
      <w:r>
        <w:rPr>
          <w:rFonts w:hint="eastAsia"/>
          <w:sz w:val="20"/>
          <w:szCs w:val="20"/>
        </w:rPr>
        <w:t>Kmac</w:t>
      </w:r>
      <w:proofErr w:type="spellEnd"/>
      <w:r>
        <w:rPr>
          <w:rFonts w:hint="eastAsia"/>
          <w:sz w:val="20"/>
          <w:szCs w:val="20"/>
        </w:rPr>
        <w:t xml:space="preserve"> (if </w:t>
      </w:r>
      <w:proofErr w:type="spellStart"/>
      <w:r>
        <w:rPr>
          <w:rFonts w:hint="eastAsia"/>
          <w:sz w:val="20"/>
          <w:szCs w:val="20"/>
        </w:rPr>
        <w:t>Kmac</w:t>
      </w:r>
      <w:proofErr w:type="spellEnd"/>
      <w:r>
        <w:rPr>
          <w:rFonts w:hint="eastAsia"/>
          <w:sz w:val="20"/>
          <w:szCs w:val="20"/>
        </w:rPr>
        <w:t xml:space="preserve"> is not equal to 0) can be applied for timing relationships of IoT-NTN, if no indication of updating values were received. Moreover, the mechanism of updating K_offset and/or </w:t>
      </w:r>
      <w:proofErr w:type="spellStart"/>
      <w:r>
        <w:rPr>
          <w:rFonts w:hint="eastAsia"/>
          <w:sz w:val="20"/>
          <w:szCs w:val="20"/>
        </w:rPr>
        <w:t>Kmac</w:t>
      </w:r>
      <w:proofErr w:type="spellEnd"/>
      <w:r>
        <w:rPr>
          <w:rFonts w:hint="eastAsia"/>
          <w:sz w:val="20"/>
          <w:szCs w:val="20"/>
        </w:rPr>
        <w:t xml:space="preserve"> in NR-NTN can be reused. </w:t>
      </w:r>
    </w:p>
    <w:p w:rsidR="00DF1AE4" w:rsidRDefault="00EB6B94">
      <w:pPr>
        <w:adjustRightInd w:val="0"/>
        <w:snapToGrid w:val="0"/>
        <w:spacing w:beforeLines="50" w:before="156" w:afterLines="50" w:after="156"/>
        <w:rPr>
          <w:i/>
          <w:iCs/>
          <w:sz w:val="20"/>
          <w:szCs w:val="20"/>
        </w:rPr>
      </w:pPr>
      <w:r>
        <w:rPr>
          <w:b/>
          <w:bCs/>
          <w:i/>
          <w:iCs/>
          <w:sz w:val="20"/>
          <w:szCs w:val="20"/>
        </w:rPr>
        <w:t>Proposal</w:t>
      </w:r>
      <w:r>
        <w:rPr>
          <w:rFonts w:hint="eastAsia"/>
          <w:b/>
          <w:bCs/>
          <w:i/>
          <w:iCs/>
          <w:sz w:val="20"/>
          <w:szCs w:val="20"/>
        </w:rPr>
        <w:t>-4</w:t>
      </w:r>
      <w:r>
        <w:rPr>
          <w:b/>
          <w:bCs/>
          <w:i/>
          <w:iCs/>
          <w:sz w:val="20"/>
          <w:szCs w:val="20"/>
        </w:rPr>
        <w:t>:</w:t>
      </w:r>
      <w:r>
        <w:rPr>
          <w:i/>
          <w:iCs/>
          <w:sz w:val="20"/>
          <w:szCs w:val="20"/>
        </w:rPr>
        <w:t xml:space="preserve"> </w:t>
      </w:r>
      <w:r>
        <w:rPr>
          <w:rFonts w:hint="eastAsia"/>
          <w:i/>
          <w:iCs/>
          <w:sz w:val="20"/>
          <w:szCs w:val="20"/>
        </w:rPr>
        <w:t xml:space="preserve">Reuse the signalling mechanism </w:t>
      </w:r>
      <w:r>
        <w:rPr>
          <w:i/>
          <w:iCs/>
          <w:sz w:val="20"/>
          <w:szCs w:val="20"/>
        </w:rPr>
        <w:t xml:space="preserve">on indication/updates </w:t>
      </w:r>
      <w:r>
        <w:rPr>
          <w:rFonts w:hint="eastAsia"/>
          <w:i/>
          <w:iCs/>
          <w:sz w:val="20"/>
          <w:szCs w:val="20"/>
        </w:rPr>
        <w:t xml:space="preserve">of K_offset and/or </w:t>
      </w:r>
      <w:proofErr w:type="spellStart"/>
      <w:r>
        <w:rPr>
          <w:rFonts w:hint="eastAsia"/>
          <w:i/>
          <w:iCs/>
          <w:sz w:val="20"/>
          <w:szCs w:val="20"/>
        </w:rPr>
        <w:t>Kmac</w:t>
      </w:r>
      <w:proofErr w:type="spellEnd"/>
      <w:r>
        <w:rPr>
          <w:i/>
          <w:iCs/>
          <w:sz w:val="20"/>
          <w:szCs w:val="20"/>
        </w:rPr>
        <w:t xml:space="preserve"> </w:t>
      </w:r>
      <w:r>
        <w:rPr>
          <w:rFonts w:hint="eastAsia"/>
          <w:i/>
          <w:iCs/>
          <w:sz w:val="20"/>
          <w:szCs w:val="20"/>
        </w:rPr>
        <w:t>concluded in NR-NTN.</w:t>
      </w:r>
    </w:p>
    <w:p w:rsidR="00DF1AE4" w:rsidRDefault="00EB6B94">
      <w:pPr>
        <w:numPr>
          <w:ilvl w:val="0"/>
          <w:numId w:val="4"/>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rPr>
      </w:pPr>
      <w:r>
        <w:rPr>
          <w:rFonts w:ascii="Arial" w:eastAsia="黑体" w:hAnsi="Arial"/>
          <w:b/>
          <w:bCs/>
          <w:sz w:val="28"/>
          <w:szCs w:val="30"/>
        </w:rPr>
        <w:t>UE-specific TA reporting</w:t>
      </w:r>
    </w:p>
    <w:p w:rsidR="00DF1AE4" w:rsidRDefault="00EB6B94">
      <w:pPr>
        <w:adjustRightInd w:val="0"/>
        <w:snapToGrid w:val="0"/>
        <w:spacing w:beforeLines="50" w:before="156" w:afterLines="50" w:after="156"/>
        <w:rPr>
          <w:sz w:val="20"/>
          <w:szCs w:val="20"/>
        </w:rPr>
      </w:pPr>
      <w:r>
        <w:rPr>
          <w:rFonts w:hint="eastAsia"/>
          <w:sz w:val="20"/>
          <w:szCs w:val="20"/>
        </w:rPr>
        <w:t>The content of reported TA and frequency of reporting TA were discussed in RAN1#106-e meeting [5], as well as in RAN2#115e [6]. And some agreements were agreed in RAN2 as follows:</w:t>
      </w:r>
    </w:p>
    <w:p w:rsidR="00DF1AE4" w:rsidRDefault="00EB6B94">
      <w:pPr>
        <w:adjustRightInd w:val="0"/>
        <w:snapToGrid w:val="0"/>
        <w:spacing w:beforeLines="50" w:before="156" w:afterLines="50" w:after="156"/>
        <w:rPr>
          <w:i/>
          <w:iCs/>
          <w:sz w:val="20"/>
          <w:szCs w:val="20"/>
        </w:rPr>
      </w:pPr>
      <w:r>
        <w:rPr>
          <w:rFonts w:hint="eastAsia"/>
          <w:i/>
          <w:iCs/>
          <w:sz w:val="20"/>
          <w:szCs w:val="20"/>
        </w:rPr>
        <w:t>[</w:t>
      </w:r>
      <w:proofErr w:type="gramStart"/>
      <w:r>
        <w:rPr>
          <w:rFonts w:hint="eastAsia"/>
          <w:i/>
          <w:iCs/>
          <w:sz w:val="20"/>
          <w:szCs w:val="20"/>
        </w:rPr>
        <w:t>under</w:t>
      </w:r>
      <w:proofErr w:type="gramEnd"/>
      <w:r>
        <w:rPr>
          <w:rFonts w:hint="eastAsia"/>
          <w:i/>
          <w:iCs/>
          <w:sz w:val="20"/>
          <w:szCs w:val="20"/>
        </w:rPr>
        <w:t xml:space="preserve"> AI of NB-IoT and eMTC support for NTN]</w:t>
      </w:r>
    </w:p>
    <w:p w:rsidR="00DF1AE4" w:rsidRDefault="00EB6B94">
      <w:pPr>
        <w:adjustRightInd w:val="0"/>
        <w:snapToGrid w:val="0"/>
        <w:spacing w:beforeLines="50" w:before="156" w:afterLines="50" w:after="156"/>
        <w:rPr>
          <w:i/>
          <w:iCs/>
          <w:sz w:val="20"/>
          <w:szCs w:val="20"/>
        </w:rPr>
      </w:pPr>
      <w:r>
        <w:rPr>
          <w:rFonts w:hint="eastAsia"/>
          <w:i/>
          <w:iCs/>
          <w:sz w:val="20"/>
          <w:szCs w:val="20"/>
        </w:rPr>
        <w:t>RAN2 assumes that TA information (FFS what) reporting by the UE on network enabling will be needed in IoT NTN. Expect RAN1 need to progress on this, and can maybe reuse NR NTN progress. FFS in which message this is provided.</w:t>
      </w:r>
    </w:p>
    <w:p w:rsidR="00DF1AE4" w:rsidRDefault="00EB6B94">
      <w:pPr>
        <w:adjustRightInd w:val="0"/>
        <w:snapToGrid w:val="0"/>
        <w:spacing w:beforeLines="50" w:before="156" w:afterLines="50" w:after="156"/>
        <w:rPr>
          <w:i/>
          <w:iCs/>
          <w:sz w:val="20"/>
          <w:szCs w:val="20"/>
        </w:rPr>
      </w:pPr>
      <w:r>
        <w:rPr>
          <w:rFonts w:hint="eastAsia"/>
          <w:i/>
          <w:iCs/>
          <w:sz w:val="20"/>
          <w:szCs w:val="20"/>
        </w:rPr>
        <w:t>[</w:t>
      </w:r>
      <w:proofErr w:type="gramStart"/>
      <w:r>
        <w:rPr>
          <w:rFonts w:hint="eastAsia"/>
          <w:i/>
          <w:iCs/>
          <w:sz w:val="20"/>
          <w:szCs w:val="20"/>
        </w:rPr>
        <w:t>under</w:t>
      </w:r>
      <w:proofErr w:type="gramEnd"/>
      <w:r>
        <w:rPr>
          <w:rFonts w:hint="eastAsia"/>
          <w:i/>
          <w:iCs/>
          <w:sz w:val="20"/>
          <w:szCs w:val="20"/>
        </w:rPr>
        <w:t xml:space="preserve"> AI of NR NTN]</w:t>
      </w:r>
    </w:p>
    <w:p w:rsidR="00DF1AE4" w:rsidRDefault="00EB6B94">
      <w:pPr>
        <w:adjustRightInd w:val="0"/>
        <w:snapToGrid w:val="0"/>
        <w:spacing w:beforeLines="50" w:before="156" w:afterLines="50" w:after="156"/>
        <w:rPr>
          <w:i/>
          <w:iCs/>
          <w:sz w:val="20"/>
          <w:szCs w:val="20"/>
        </w:rPr>
      </w:pPr>
      <w:r>
        <w:rPr>
          <w:rFonts w:hint="eastAsia"/>
          <w:i/>
          <w:iCs/>
          <w:sz w:val="20"/>
          <w:szCs w:val="20"/>
        </w:rPr>
        <w:t>Event-triggers for reporting on the information about UE specific TA in connected mode is supported. FFS on the details. Confirmation by RAN1 is also needed</w:t>
      </w:r>
    </w:p>
    <w:p w:rsidR="00DF1AE4" w:rsidRDefault="00EB6B94">
      <w:pPr>
        <w:adjustRightInd w:val="0"/>
        <w:snapToGrid w:val="0"/>
        <w:spacing w:beforeLines="50" w:before="156" w:afterLines="50" w:after="156"/>
        <w:rPr>
          <w:sz w:val="20"/>
          <w:szCs w:val="20"/>
        </w:rPr>
      </w:pPr>
      <w:r>
        <w:rPr>
          <w:rFonts w:hint="eastAsia"/>
          <w:sz w:val="20"/>
          <w:szCs w:val="20"/>
        </w:rPr>
        <w:t xml:space="preserve">In our view, regarding </w:t>
      </w:r>
      <w:r>
        <w:rPr>
          <w:sz w:val="20"/>
          <w:szCs w:val="20"/>
        </w:rPr>
        <w:t xml:space="preserve">the TA </w:t>
      </w:r>
      <w:r>
        <w:rPr>
          <w:rFonts w:hint="eastAsia"/>
          <w:sz w:val="20"/>
          <w:szCs w:val="20"/>
        </w:rPr>
        <w:t>reported</w:t>
      </w:r>
      <w:r>
        <w:rPr>
          <w:sz w:val="20"/>
          <w:szCs w:val="20"/>
        </w:rPr>
        <w:t xml:space="preserve">, the </w:t>
      </w:r>
      <w:r>
        <w:rPr>
          <w:rFonts w:hint="eastAsia"/>
          <w:sz w:val="20"/>
          <w:szCs w:val="20"/>
        </w:rPr>
        <w:t xml:space="preserve">unified solution can be </w:t>
      </w:r>
      <w:r>
        <w:rPr>
          <w:sz w:val="20"/>
          <w:szCs w:val="20"/>
        </w:rPr>
        <w:t xml:space="preserve">considered for both NR-NTN and IoT-NTN as </w:t>
      </w:r>
      <w:r>
        <w:rPr>
          <w:rFonts w:hint="eastAsia"/>
          <w:sz w:val="20"/>
          <w:szCs w:val="20"/>
        </w:rPr>
        <w:t xml:space="preserve">elaborated in </w:t>
      </w:r>
      <w:r>
        <w:rPr>
          <w:sz w:val="20"/>
          <w:szCs w:val="20"/>
        </w:rPr>
        <w:t>our contribution</w:t>
      </w:r>
      <w:r>
        <w:rPr>
          <w:rFonts w:hint="eastAsia"/>
          <w:sz w:val="20"/>
          <w:szCs w:val="20"/>
        </w:rPr>
        <w:t xml:space="preserve"> [7].</w:t>
      </w:r>
    </w:p>
    <w:p w:rsidR="00DF1AE4" w:rsidRDefault="00EB6B94">
      <w:pPr>
        <w:adjustRightInd w:val="0"/>
        <w:snapToGrid w:val="0"/>
        <w:spacing w:beforeLines="50" w:before="156" w:afterLines="50" w:after="156"/>
        <w:rPr>
          <w:i/>
          <w:iCs/>
          <w:sz w:val="20"/>
          <w:szCs w:val="20"/>
        </w:rPr>
      </w:pPr>
      <w:r>
        <w:rPr>
          <w:b/>
          <w:bCs/>
          <w:i/>
          <w:iCs/>
          <w:sz w:val="20"/>
          <w:szCs w:val="20"/>
        </w:rPr>
        <w:t>Proposal</w:t>
      </w:r>
      <w:r>
        <w:rPr>
          <w:rFonts w:hint="eastAsia"/>
          <w:b/>
          <w:bCs/>
          <w:i/>
          <w:iCs/>
          <w:sz w:val="20"/>
          <w:szCs w:val="20"/>
        </w:rPr>
        <w:t>-</w:t>
      </w:r>
      <w:r>
        <w:rPr>
          <w:b/>
          <w:bCs/>
          <w:i/>
          <w:iCs/>
          <w:sz w:val="20"/>
          <w:szCs w:val="20"/>
        </w:rPr>
        <w:t>5:</w:t>
      </w:r>
      <w:r>
        <w:rPr>
          <w:i/>
          <w:iCs/>
          <w:sz w:val="20"/>
          <w:szCs w:val="20"/>
        </w:rPr>
        <w:t xml:space="preserve"> A unified solution for TA reporting should be supported for both NR-NTN and IoT-NTN.</w:t>
      </w:r>
    </w:p>
    <w:p w:rsidR="00DF1AE4" w:rsidRDefault="00EB6B94">
      <w:pPr>
        <w:keepNext/>
        <w:keepLines/>
        <w:spacing w:beforeLines="50" w:before="156" w:afterLines="50" w:after="156"/>
        <w:outlineLvl w:val="1"/>
        <w:rPr>
          <w:rFonts w:ascii="Arial" w:eastAsia="Arial Unicode MS" w:hAnsi="Arial"/>
          <w:sz w:val="24"/>
        </w:rPr>
      </w:pPr>
      <w:r>
        <w:rPr>
          <w:rFonts w:ascii="Arial" w:eastAsia="Arial Unicode MS" w:hAnsi="Arial" w:hint="eastAsia"/>
          <w:sz w:val="24"/>
        </w:rPr>
        <w:t>3</w:t>
      </w:r>
      <w:r>
        <w:rPr>
          <w:rFonts w:ascii="Arial" w:eastAsia="Arial Unicode MS" w:hAnsi="Arial"/>
          <w:sz w:val="24"/>
        </w:rPr>
        <w:t>.</w:t>
      </w:r>
      <w:r>
        <w:rPr>
          <w:rFonts w:ascii="Arial" w:eastAsia="Arial Unicode MS" w:hAnsi="Arial" w:hint="eastAsia"/>
          <w:sz w:val="24"/>
        </w:rPr>
        <w:t>1</w:t>
      </w:r>
      <w:r>
        <w:rPr>
          <w:rFonts w:ascii="Arial" w:eastAsia="Arial Unicode MS" w:hAnsi="Arial"/>
          <w:sz w:val="24"/>
        </w:rPr>
        <w:t xml:space="preserve"> </w:t>
      </w:r>
      <w:r>
        <w:rPr>
          <w:rFonts w:ascii="Arial" w:eastAsia="Arial Unicode MS" w:hAnsi="Arial" w:hint="eastAsia"/>
          <w:sz w:val="24"/>
        </w:rPr>
        <w:t>Content of reported TA</w:t>
      </w:r>
    </w:p>
    <w:p w:rsidR="00DF1AE4" w:rsidRDefault="00EB6B94">
      <w:pPr>
        <w:adjustRightInd w:val="0"/>
        <w:snapToGrid w:val="0"/>
        <w:spacing w:beforeLines="50" w:before="156" w:afterLines="50" w:after="156"/>
        <w:rPr>
          <w:sz w:val="20"/>
          <w:szCs w:val="20"/>
        </w:rPr>
      </w:pPr>
      <w:r>
        <w:rPr>
          <w:rFonts w:hint="eastAsia"/>
          <w:sz w:val="20"/>
          <w:szCs w:val="20"/>
        </w:rPr>
        <w:t xml:space="preserve">Following proposals were extensively discussed in </w:t>
      </w:r>
      <w:r>
        <w:rPr>
          <w:sz w:val="20"/>
          <w:szCs w:val="20"/>
        </w:rPr>
        <w:t>RAN1 [</w:t>
      </w:r>
      <w:r>
        <w:rPr>
          <w:rFonts w:hint="eastAsia"/>
          <w:sz w:val="20"/>
          <w:szCs w:val="20"/>
        </w:rPr>
        <w:t xml:space="preserve">5]:  </w:t>
      </w:r>
    </w:p>
    <w:p w:rsidR="00DF1AE4" w:rsidRDefault="00EB6B94">
      <w:pPr>
        <w:widowControl/>
        <w:numPr>
          <w:ilvl w:val="0"/>
          <w:numId w:val="6"/>
        </w:numPr>
        <w:ind w:left="726" w:hanging="363"/>
        <w:jc w:val="left"/>
        <w:rPr>
          <w:rFonts w:eastAsia="Batang"/>
          <w:kern w:val="0"/>
          <w:sz w:val="20"/>
          <w:lang w:val="en-GB"/>
        </w:rPr>
      </w:pPr>
      <w:r>
        <w:rPr>
          <w:rFonts w:eastAsia="Batang"/>
          <w:kern w:val="0"/>
          <w:sz w:val="20"/>
          <w:lang w:val="en-GB"/>
        </w:rPr>
        <w:t xml:space="preserve">Option 1: UE-specific </w:t>
      </w:r>
      <w:r>
        <w:rPr>
          <w:rFonts w:eastAsia="Batang"/>
          <w:kern w:val="0"/>
          <w:sz w:val="20"/>
          <w:lang w:val="en-GB" w:eastAsia="en-US"/>
        </w:rPr>
        <w:t>N</w:t>
      </w:r>
      <w:r>
        <w:rPr>
          <w:rFonts w:eastAsia="Batang"/>
          <w:kern w:val="0"/>
          <w:sz w:val="20"/>
          <w:vertAlign w:val="subscript"/>
          <w:lang w:val="en-GB" w:eastAsia="en-US"/>
        </w:rPr>
        <w:t>TA, UE-specific</w:t>
      </w:r>
      <w:r>
        <w:rPr>
          <w:rFonts w:eastAsia="Batang"/>
          <w:kern w:val="0"/>
          <w:sz w:val="20"/>
          <w:lang w:val="en-GB"/>
        </w:rPr>
        <w:t xml:space="preserve"> </w:t>
      </w:r>
    </w:p>
    <w:p w:rsidR="00DF1AE4" w:rsidRDefault="00EB6B94">
      <w:pPr>
        <w:widowControl/>
        <w:numPr>
          <w:ilvl w:val="0"/>
          <w:numId w:val="6"/>
        </w:numPr>
        <w:ind w:left="726" w:hanging="363"/>
        <w:jc w:val="left"/>
        <w:rPr>
          <w:rFonts w:eastAsia="Batang"/>
          <w:kern w:val="0"/>
          <w:sz w:val="20"/>
          <w:lang w:val="en-GB"/>
        </w:rPr>
      </w:pPr>
      <w:r>
        <w:rPr>
          <w:rFonts w:eastAsia="Batang"/>
          <w:kern w:val="0"/>
          <w:sz w:val="20"/>
          <w:lang w:val="en-GB"/>
        </w:rPr>
        <w:t>Option 2: UE-specific full TA applicable to UL transmission</w:t>
      </w:r>
    </w:p>
    <w:p w:rsidR="00DF1AE4" w:rsidRDefault="00EB6B94">
      <w:pPr>
        <w:widowControl/>
        <w:numPr>
          <w:ilvl w:val="0"/>
          <w:numId w:val="6"/>
        </w:numPr>
        <w:ind w:left="726" w:hanging="363"/>
        <w:jc w:val="left"/>
        <w:rPr>
          <w:rFonts w:eastAsia="Batang"/>
          <w:kern w:val="0"/>
          <w:sz w:val="20"/>
          <w:lang w:val="en-GB"/>
        </w:rPr>
      </w:pPr>
      <w:r>
        <w:rPr>
          <w:rFonts w:eastAsia="Batang"/>
          <w:kern w:val="0"/>
          <w:sz w:val="20"/>
          <w:lang w:val="en-GB"/>
        </w:rPr>
        <w:t xml:space="preserve">Option 3: UE location </w:t>
      </w:r>
    </w:p>
    <w:p w:rsidR="00DF1AE4" w:rsidRDefault="00EB6B94">
      <w:pPr>
        <w:widowControl/>
        <w:numPr>
          <w:ilvl w:val="0"/>
          <w:numId w:val="6"/>
        </w:numPr>
        <w:overflowPunct w:val="0"/>
        <w:autoSpaceDE w:val="0"/>
        <w:autoSpaceDN w:val="0"/>
        <w:adjustRightInd w:val="0"/>
        <w:snapToGrid w:val="0"/>
        <w:ind w:left="726" w:hanging="363"/>
        <w:rPr>
          <w:sz w:val="20"/>
          <w:szCs w:val="20"/>
          <w:lang w:eastAsia="en-US"/>
        </w:rPr>
      </w:pPr>
      <w:r>
        <w:rPr>
          <w:sz w:val="20"/>
          <w:szCs w:val="20"/>
          <w:lang w:eastAsia="en-US"/>
        </w:rPr>
        <w:t xml:space="preserve">Option 4: Difference between UE-specific K_offset and cell-specific K_offset </w:t>
      </w:r>
    </w:p>
    <w:p w:rsidR="00DF1AE4" w:rsidRDefault="00EB6B94">
      <w:pPr>
        <w:widowControl/>
        <w:numPr>
          <w:ilvl w:val="0"/>
          <w:numId w:val="6"/>
        </w:numPr>
        <w:overflowPunct w:val="0"/>
        <w:autoSpaceDE w:val="0"/>
        <w:autoSpaceDN w:val="0"/>
        <w:adjustRightInd w:val="0"/>
        <w:snapToGrid w:val="0"/>
        <w:ind w:left="726" w:hanging="363"/>
        <w:rPr>
          <w:sz w:val="20"/>
          <w:szCs w:val="20"/>
          <w:lang w:eastAsia="en-US"/>
        </w:rPr>
      </w:pPr>
      <w:r>
        <w:rPr>
          <w:sz w:val="20"/>
          <w:szCs w:val="20"/>
          <w:lang w:eastAsia="en-US"/>
        </w:rPr>
        <w:t xml:space="preserve">Option 5: Difference between the last applied K_offset (e.g., cell-specific K_offset or UE-specific K_offset indicated by the network) and one new K_offset suggested by UE </w:t>
      </w:r>
    </w:p>
    <w:p w:rsidR="00DF1AE4" w:rsidRDefault="00EB6B94">
      <w:pPr>
        <w:widowControl/>
        <w:numPr>
          <w:ilvl w:val="0"/>
          <w:numId w:val="6"/>
        </w:numPr>
        <w:overflowPunct w:val="0"/>
        <w:autoSpaceDE w:val="0"/>
        <w:autoSpaceDN w:val="0"/>
        <w:adjustRightInd w:val="0"/>
        <w:snapToGrid w:val="0"/>
        <w:ind w:left="726" w:hanging="363"/>
        <w:rPr>
          <w:sz w:val="20"/>
          <w:szCs w:val="20"/>
          <w:lang w:eastAsia="en-US"/>
        </w:rPr>
      </w:pPr>
      <w:r>
        <w:rPr>
          <w:sz w:val="20"/>
          <w:szCs w:val="20"/>
          <w:lang w:eastAsia="en-US"/>
        </w:rPr>
        <w:t>Option 6: Differential indication</w:t>
      </w:r>
    </w:p>
    <w:p w:rsidR="00DF1AE4" w:rsidRDefault="00EB6B94">
      <w:pPr>
        <w:widowControl/>
        <w:numPr>
          <w:ilvl w:val="0"/>
          <w:numId w:val="6"/>
        </w:numPr>
        <w:ind w:left="726" w:hanging="363"/>
        <w:jc w:val="left"/>
        <w:rPr>
          <w:sz w:val="20"/>
          <w:szCs w:val="20"/>
        </w:rPr>
      </w:pPr>
      <w:r>
        <w:rPr>
          <w:rFonts w:eastAsia="Batang"/>
          <w:kern w:val="0"/>
          <w:sz w:val="20"/>
          <w:lang w:val="en-GB"/>
        </w:rPr>
        <w:t>Option 7: Reporting of a stationarity indication + Option 1 or Option 2</w:t>
      </w:r>
    </w:p>
    <w:p w:rsidR="00DF1AE4" w:rsidRDefault="00EB6B94">
      <w:pPr>
        <w:adjustRightInd w:val="0"/>
        <w:snapToGrid w:val="0"/>
        <w:spacing w:beforeLines="50" w:before="156" w:afterLines="50" w:after="156"/>
        <w:rPr>
          <w:sz w:val="20"/>
          <w:szCs w:val="20"/>
        </w:rPr>
      </w:pPr>
      <w:r>
        <w:rPr>
          <w:rFonts w:hint="eastAsia"/>
          <w:sz w:val="20"/>
          <w:szCs w:val="20"/>
        </w:rPr>
        <w:t xml:space="preserve">In our view, for the partial vs full TA, from technical perspective, </w:t>
      </w:r>
      <w:r>
        <w:rPr>
          <w:sz w:val="20"/>
          <w:szCs w:val="20"/>
        </w:rPr>
        <w:t>it’s</w:t>
      </w:r>
      <w:r>
        <w:rPr>
          <w:rFonts w:hint="eastAsia"/>
          <w:sz w:val="20"/>
          <w:szCs w:val="20"/>
        </w:rPr>
        <w:t xml:space="preserve"> preferred to report the full TA, which is applied by UE (i.e., full TA including both feederlink and service link) for UL transmission with compatibility for all implementation cases. For example, if no common TA is indicated by the network, it means that the time-variant common TA will be handled by eNB, in this way, the applied TA for UL transmission will be same as the TA for service link only. However, if the common TA part with corresponding parameter related to the drift rate is informed to the UE, it will lead to the additional complexity on the TA calculation at eNB if only partial TA is reported. Moreover, errors will occurs once the misalignment time instant for calculation is assumed between UE and eNB. Then, the full TA reported from UE side is preferred. Moreover, as to the benefit of signaling overhead of partial TA report such as 1 bit, in fact it</w:t>
      </w:r>
      <w:r>
        <w:rPr>
          <w:sz w:val="20"/>
          <w:szCs w:val="20"/>
        </w:rPr>
        <w:t>’</w:t>
      </w:r>
      <w:r>
        <w:rPr>
          <w:rFonts w:hint="eastAsia"/>
          <w:sz w:val="20"/>
          <w:szCs w:val="20"/>
        </w:rPr>
        <w:t xml:space="preserve">s negligible in a long TA report period which </w:t>
      </w:r>
      <w:r>
        <w:rPr>
          <w:sz w:val="20"/>
          <w:szCs w:val="20"/>
        </w:rPr>
        <w:t>may be</w:t>
      </w:r>
      <w:r>
        <w:rPr>
          <w:rFonts w:hint="eastAsia"/>
          <w:sz w:val="20"/>
          <w:szCs w:val="20"/>
        </w:rPr>
        <w:t xml:space="preserve"> very long for a stationary UE.</w:t>
      </w:r>
    </w:p>
    <w:p w:rsidR="00DF1AE4" w:rsidRDefault="00EB6B94">
      <w:pPr>
        <w:adjustRightInd w:val="0"/>
        <w:snapToGrid w:val="0"/>
        <w:spacing w:beforeLines="50" w:before="156" w:afterLines="50" w:after="156"/>
        <w:rPr>
          <w:sz w:val="20"/>
          <w:szCs w:val="20"/>
        </w:rPr>
      </w:pPr>
      <w:r>
        <w:rPr>
          <w:rFonts w:hint="eastAsia"/>
          <w:sz w:val="20"/>
          <w:szCs w:val="20"/>
        </w:rPr>
        <w:t xml:space="preserve">W.r.t to whether enable the differential TA report, in our view, it can be considered to further optimize </w:t>
      </w:r>
      <w:r>
        <w:rPr>
          <w:rFonts w:hint="eastAsia"/>
          <w:sz w:val="20"/>
          <w:szCs w:val="20"/>
        </w:rPr>
        <w:lastRenderedPageBreak/>
        <w:t xml:space="preserve">the overhead, but at least the full TA should be done in the first reporting as shown in </w:t>
      </w:r>
      <w:r>
        <w:rPr>
          <w:rFonts w:hint="eastAsia"/>
          <w:sz w:val="20"/>
          <w:szCs w:val="20"/>
        </w:rPr>
        <w:fldChar w:fldCharType="begin"/>
      </w:r>
      <w:r>
        <w:rPr>
          <w:rFonts w:hint="eastAsia"/>
          <w:sz w:val="20"/>
          <w:szCs w:val="20"/>
        </w:rPr>
        <w:instrText xml:space="preserve"> REF _Ref12873 \h </w:instrText>
      </w:r>
      <w:r>
        <w:rPr>
          <w:rFonts w:hint="eastAsia"/>
          <w:sz w:val="20"/>
          <w:szCs w:val="20"/>
        </w:rPr>
      </w:r>
      <w:r>
        <w:rPr>
          <w:rFonts w:hint="eastAsia"/>
          <w:sz w:val="20"/>
          <w:szCs w:val="20"/>
        </w:rPr>
        <w:fldChar w:fldCharType="separate"/>
      </w:r>
      <w:r>
        <w:rPr>
          <w:rFonts w:eastAsia="黑体"/>
          <w:sz w:val="20"/>
          <w:szCs w:val="20"/>
        </w:rPr>
        <w:t>Figure 1</w:t>
      </w:r>
      <w:r>
        <w:rPr>
          <w:rFonts w:hint="eastAsia"/>
          <w:sz w:val="20"/>
          <w:szCs w:val="20"/>
        </w:rPr>
        <w:fldChar w:fldCharType="end"/>
      </w:r>
      <w:r>
        <w:rPr>
          <w:rFonts w:hint="eastAsia"/>
          <w:sz w:val="20"/>
          <w:szCs w:val="20"/>
        </w:rPr>
        <w:t xml:space="preserve"> to provide the reference point. Moreover, since the granularity of report TA can be coarse to reduce the overhead, the differential TA report can be achieved by introducing one bit indication. However, in case of short transmission for IoT case, the further updates by differential indication may not be needed since the UE will switch to the idle or PSM.</w:t>
      </w:r>
    </w:p>
    <w:p w:rsidR="00DF1AE4" w:rsidRDefault="00EB6B94">
      <w:pPr>
        <w:adjustRightInd w:val="0"/>
        <w:snapToGrid w:val="0"/>
        <w:spacing w:beforeLines="50" w:before="156" w:afterLines="50" w:after="156"/>
        <w:rPr>
          <w:sz w:val="20"/>
          <w:szCs w:val="20"/>
        </w:rPr>
      </w:pPr>
      <w:r>
        <w:rPr>
          <w:noProof/>
          <w:sz w:val="20"/>
          <w:szCs w:val="20"/>
        </w:rPr>
        <w:drawing>
          <wp:inline distT="0" distB="0" distL="114300" distR="114300">
            <wp:extent cx="5267960" cy="1986915"/>
            <wp:effectExtent l="0" t="0" r="8890" b="13335"/>
            <wp:docPr id="1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9"/>
                    <pic:cNvPicPr>
                      <a:picLocks noChangeAspect="1"/>
                    </pic:cNvPicPr>
                  </pic:nvPicPr>
                  <pic:blipFill>
                    <a:blip r:embed="rId9"/>
                    <a:stretch>
                      <a:fillRect/>
                    </a:stretch>
                  </pic:blipFill>
                  <pic:spPr>
                    <a:xfrm>
                      <a:off x="0" y="0"/>
                      <a:ext cx="5267960" cy="1986915"/>
                    </a:xfrm>
                    <a:prstGeom prst="rect">
                      <a:avLst/>
                    </a:prstGeom>
                    <a:noFill/>
                    <a:ln>
                      <a:noFill/>
                    </a:ln>
                  </pic:spPr>
                </pic:pic>
              </a:graphicData>
            </a:graphic>
          </wp:inline>
        </w:drawing>
      </w:r>
    </w:p>
    <w:p w:rsidR="00DF1AE4" w:rsidRDefault="00EB6B94">
      <w:pPr>
        <w:adjustRightInd w:val="0"/>
        <w:snapToGrid w:val="0"/>
        <w:spacing w:beforeLines="50" w:before="156" w:afterLines="50" w:after="156"/>
        <w:ind w:left="420"/>
        <w:jc w:val="center"/>
        <w:rPr>
          <w:rFonts w:eastAsia="黑体"/>
          <w:sz w:val="20"/>
          <w:szCs w:val="20"/>
        </w:rPr>
      </w:pPr>
      <w:bookmarkStart w:id="5" w:name="_Ref12873"/>
      <w:r>
        <w:rPr>
          <w:rFonts w:eastAsia="黑体"/>
          <w:sz w:val="20"/>
          <w:szCs w:val="20"/>
        </w:rPr>
        <w:t xml:space="preserve">Figure </w:t>
      </w:r>
      <w:r>
        <w:rPr>
          <w:rFonts w:eastAsia="黑体"/>
          <w:sz w:val="20"/>
          <w:szCs w:val="20"/>
        </w:rPr>
        <w:fldChar w:fldCharType="begin"/>
      </w:r>
      <w:r>
        <w:rPr>
          <w:rFonts w:eastAsia="黑体"/>
          <w:sz w:val="20"/>
          <w:szCs w:val="20"/>
        </w:rPr>
        <w:instrText xml:space="preserve"> SEQ Figure \* ARABIC </w:instrText>
      </w:r>
      <w:r>
        <w:rPr>
          <w:rFonts w:eastAsia="黑体"/>
          <w:sz w:val="20"/>
          <w:szCs w:val="20"/>
        </w:rPr>
        <w:fldChar w:fldCharType="separate"/>
      </w:r>
      <w:r>
        <w:rPr>
          <w:rFonts w:eastAsia="黑体"/>
          <w:sz w:val="20"/>
          <w:szCs w:val="20"/>
        </w:rPr>
        <w:t>1</w:t>
      </w:r>
      <w:r>
        <w:rPr>
          <w:rFonts w:eastAsia="黑体"/>
          <w:sz w:val="20"/>
          <w:szCs w:val="20"/>
        </w:rPr>
        <w:fldChar w:fldCharType="end"/>
      </w:r>
      <w:r>
        <w:rPr>
          <w:rFonts w:eastAsia="黑体"/>
          <w:sz w:val="20"/>
          <w:szCs w:val="20"/>
        </w:rPr>
        <w:t xml:space="preserve"> Update UE specific K_offset based on TA reporting</w:t>
      </w:r>
      <w:bookmarkEnd w:id="5"/>
    </w:p>
    <w:p w:rsidR="00DF1AE4" w:rsidRDefault="00EB6B94">
      <w:pPr>
        <w:adjustRightInd w:val="0"/>
        <w:snapToGrid w:val="0"/>
        <w:spacing w:beforeLines="50" w:before="156" w:afterLines="50" w:after="156"/>
        <w:rPr>
          <w:sz w:val="20"/>
          <w:szCs w:val="20"/>
          <w:highlight w:val="yellow"/>
        </w:rPr>
      </w:pPr>
      <w:r>
        <w:rPr>
          <w:rFonts w:hint="eastAsia"/>
          <w:sz w:val="20"/>
          <w:szCs w:val="20"/>
        </w:rPr>
        <w:t xml:space="preserve">For the UE location report, we do have some concern whether to introduce such feature from PHY layer perspective considering the serious security and regulatory risk. While regarding Option 7, e.g., reporting of a stationarity indication + Option 2, in this situation, latency and complexity can be reduced for UE, because a stationary UE especially in GEO satellite scenario may only report TA once, i.e. the first reported TA. </w:t>
      </w:r>
    </w:p>
    <w:p w:rsidR="00DF1AE4" w:rsidRDefault="00EB6B94">
      <w:pPr>
        <w:widowControl/>
        <w:adjustRightInd w:val="0"/>
        <w:snapToGrid w:val="0"/>
        <w:spacing w:beforeLines="50" w:before="156" w:afterLines="50" w:after="156"/>
        <w:rPr>
          <w:sz w:val="20"/>
          <w:szCs w:val="20"/>
        </w:rPr>
      </w:pPr>
      <w:r>
        <w:rPr>
          <w:b/>
          <w:bCs/>
          <w:i/>
          <w:kern w:val="0"/>
          <w:sz w:val="20"/>
          <w:szCs w:val="20"/>
        </w:rPr>
        <w:t>Proposal</w:t>
      </w:r>
      <w:r>
        <w:rPr>
          <w:rFonts w:hint="eastAsia"/>
          <w:b/>
          <w:bCs/>
          <w:i/>
          <w:kern w:val="0"/>
          <w:sz w:val="20"/>
          <w:szCs w:val="20"/>
        </w:rPr>
        <w:t>-6</w:t>
      </w:r>
      <w:r>
        <w:rPr>
          <w:b/>
          <w:bCs/>
          <w:i/>
          <w:kern w:val="0"/>
          <w:sz w:val="20"/>
          <w:szCs w:val="20"/>
        </w:rPr>
        <w:t xml:space="preserve">: </w:t>
      </w:r>
      <w:r>
        <w:rPr>
          <w:bCs/>
          <w:i/>
          <w:kern w:val="0"/>
          <w:sz w:val="20"/>
          <w:szCs w:val="20"/>
        </w:rPr>
        <w:t xml:space="preserve">At least the report of the </w:t>
      </w:r>
      <w:r>
        <w:rPr>
          <w:i/>
          <w:kern w:val="0"/>
          <w:sz w:val="20"/>
          <w:szCs w:val="20"/>
        </w:rPr>
        <w:t xml:space="preserve">full applied </w:t>
      </w:r>
      <w:r>
        <w:rPr>
          <w:rFonts w:hint="eastAsia"/>
          <w:i/>
          <w:kern w:val="0"/>
          <w:sz w:val="20"/>
          <w:szCs w:val="20"/>
        </w:rPr>
        <w:t xml:space="preserve">TA </w:t>
      </w:r>
      <w:r>
        <w:rPr>
          <w:i/>
          <w:kern w:val="0"/>
          <w:sz w:val="20"/>
          <w:szCs w:val="20"/>
        </w:rPr>
        <w:t xml:space="preserve">for UL transmission should be supported in the first report. </w:t>
      </w:r>
    </w:p>
    <w:p w:rsidR="00DF1AE4" w:rsidRDefault="00EB6B94">
      <w:pPr>
        <w:widowControl/>
        <w:adjustRightInd w:val="0"/>
        <w:snapToGrid w:val="0"/>
        <w:spacing w:beforeLines="50" w:before="156" w:afterLines="50" w:after="156"/>
        <w:rPr>
          <w:i/>
          <w:kern w:val="0"/>
          <w:sz w:val="20"/>
          <w:szCs w:val="20"/>
        </w:rPr>
      </w:pPr>
      <w:r>
        <w:rPr>
          <w:b/>
          <w:bCs/>
          <w:i/>
          <w:kern w:val="0"/>
          <w:sz w:val="20"/>
          <w:szCs w:val="20"/>
        </w:rPr>
        <w:t>Proposal</w:t>
      </w:r>
      <w:r>
        <w:rPr>
          <w:rFonts w:hint="eastAsia"/>
          <w:b/>
          <w:bCs/>
          <w:i/>
          <w:kern w:val="0"/>
          <w:sz w:val="20"/>
          <w:szCs w:val="20"/>
        </w:rPr>
        <w:t>-7</w:t>
      </w:r>
      <w:r>
        <w:rPr>
          <w:b/>
          <w:bCs/>
          <w:i/>
          <w:kern w:val="0"/>
          <w:sz w:val="20"/>
          <w:szCs w:val="20"/>
        </w:rPr>
        <w:t xml:space="preserve">: </w:t>
      </w:r>
      <w:r>
        <w:rPr>
          <w:rFonts w:hint="eastAsia"/>
          <w:i/>
          <w:kern w:val="0"/>
          <w:sz w:val="20"/>
          <w:szCs w:val="20"/>
        </w:rPr>
        <w:t xml:space="preserve">For </w:t>
      </w:r>
      <w:r>
        <w:rPr>
          <w:i/>
          <w:kern w:val="0"/>
          <w:sz w:val="20"/>
          <w:szCs w:val="20"/>
        </w:rPr>
        <w:t xml:space="preserve">the </w:t>
      </w:r>
      <w:r>
        <w:rPr>
          <w:rFonts w:hint="eastAsia"/>
          <w:i/>
          <w:kern w:val="0"/>
          <w:sz w:val="20"/>
          <w:szCs w:val="20"/>
        </w:rPr>
        <w:t xml:space="preserve">subsequent </w:t>
      </w:r>
      <w:r>
        <w:rPr>
          <w:i/>
          <w:kern w:val="0"/>
          <w:sz w:val="20"/>
          <w:szCs w:val="20"/>
        </w:rPr>
        <w:t>TA reporting if required in IoT case with short transmission</w:t>
      </w:r>
      <w:r>
        <w:rPr>
          <w:rFonts w:hint="eastAsia"/>
          <w:i/>
          <w:kern w:val="0"/>
          <w:sz w:val="20"/>
          <w:szCs w:val="20"/>
        </w:rPr>
        <w:t xml:space="preserve">, indication </w:t>
      </w:r>
      <w:r>
        <w:rPr>
          <w:i/>
          <w:kern w:val="0"/>
          <w:sz w:val="20"/>
          <w:szCs w:val="20"/>
        </w:rPr>
        <w:t xml:space="preserve">of differential value (e.g., via one bit) can be considered to </w:t>
      </w:r>
      <w:r>
        <w:rPr>
          <w:rFonts w:hint="eastAsia"/>
          <w:i/>
          <w:kern w:val="0"/>
          <w:sz w:val="20"/>
          <w:szCs w:val="20"/>
        </w:rPr>
        <w:t xml:space="preserve">reduce the signalling overhead. </w:t>
      </w:r>
    </w:p>
    <w:p w:rsidR="00DF1AE4" w:rsidRDefault="00EB6B94">
      <w:pPr>
        <w:adjustRightInd w:val="0"/>
        <w:snapToGrid w:val="0"/>
        <w:spacing w:beforeLines="50" w:before="156" w:afterLines="50" w:after="156"/>
        <w:rPr>
          <w:b/>
          <w:bCs/>
          <w:i/>
          <w:iCs/>
          <w:strike/>
          <w:sz w:val="20"/>
          <w:szCs w:val="20"/>
        </w:rPr>
      </w:pPr>
      <w:r>
        <w:rPr>
          <w:sz w:val="20"/>
          <w:szCs w:val="20"/>
        </w:rPr>
        <w:t>Furthermore</w:t>
      </w:r>
      <w:r>
        <w:rPr>
          <w:rFonts w:hint="eastAsia"/>
          <w:sz w:val="20"/>
          <w:szCs w:val="20"/>
        </w:rPr>
        <w:t xml:space="preserve">, for </w:t>
      </w:r>
      <w:r>
        <w:rPr>
          <w:sz w:val="20"/>
          <w:szCs w:val="20"/>
        </w:rPr>
        <w:t>segment pre-compensation</w:t>
      </w:r>
      <w:r>
        <w:rPr>
          <w:rFonts w:hint="eastAsia"/>
          <w:sz w:val="20"/>
          <w:szCs w:val="20"/>
        </w:rPr>
        <w:t>,</w:t>
      </w:r>
      <w:r>
        <w:rPr>
          <w:sz w:val="20"/>
          <w:szCs w:val="20"/>
        </w:rPr>
        <w:t xml:space="preserve"> the proper time pre-compensation should be applied for each part of the long transmission</w:t>
      </w:r>
      <w:r>
        <w:rPr>
          <w:rFonts w:hint="eastAsia"/>
          <w:sz w:val="20"/>
          <w:szCs w:val="20"/>
        </w:rPr>
        <w:t>.</w:t>
      </w:r>
      <w:r>
        <w:rPr>
          <w:sz w:val="20"/>
          <w:szCs w:val="20"/>
        </w:rPr>
        <w:t xml:space="preserve"> In this case, the value of applied TA may be different. Then, the selection of TA value should be specified to provide the latest value to network. For example, in the TA report via NPUSCH in either RACH procedure or based the grant from gNB, the latest TA applied for the last segment can be reported.</w:t>
      </w:r>
    </w:p>
    <w:p w:rsidR="00DF1AE4" w:rsidRDefault="00EB6B94">
      <w:pPr>
        <w:adjustRightInd w:val="0"/>
        <w:snapToGrid w:val="0"/>
        <w:spacing w:beforeLines="50" w:before="156" w:afterLines="50" w:after="156"/>
        <w:rPr>
          <w:rFonts w:ascii="Arial" w:eastAsia="Arial Unicode MS" w:hAnsi="Arial"/>
          <w:sz w:val="24"/>
          <w:highlight w:val="yellow"/>
        </w:rPr>
      </w:pPr>
      <w:r>
        <w:rPr>
          <w:b/>
          <w:bCs/>
          <w:i/>
          <w:iCs/>
          <w:sz w:val="20"/>
          <w:szCs w:val="20"/>
        </w:rPr>
        <w:t>Proposal-</w:t>
      </w:r>
      <w:r>
        <w:rPr>
          <w:rFonts w:hint="eastAsia"/>
          <w:b/>
          <w:bCs/>
          <w:i/>
          <w:iCs/>
          <w:sz w:val="20"/>
          <w:szCs w:val="20"/>
        </w:rPr>
        <w:t>8</w:t>
      </w:r>
      <w:r>
        <w:rPr>
          <w:b/>
          <w:bCs/>
          <w:i/>
          <w:iCs/>
          <w:sz w:val="20"/>
          <w:szCs w:val="20"/>
        </w:rPr>
        <w:t xml:space="preserve">: </w:t>
      </w:r>
      <w:r>
        <w:rPr>
          <w:bCs/>
          <w:i/>
          <w:iCs/>
          <w:sz w:val="20"/>
          <w:szCs w:val="20"/>
        </w:rPr>
        <w:t>In case of segment pre-compensation, the latest TA value applied for the last segment should be reported</w:t>
      </w:r>
      <w:r>
        <w:rPr>
          <w:rFonts w:hint="eastAsia"/>
          <w:bCs/>
          <w:i/>
          <w:iCs/>
          <w:sz w:val="20"/>
          <w:szCs w:val="20"/>
        </w:rPr>
        <w:t>.</w:t>
      </w:r>
    </w:p>
    <w:p w:rsidR="00DF1AE4" w:rsidRDefault="00EB6B94">
      <w:pPr>
        <w:keepNext/>
        <w:keepLines/>
        <w:spacing w:beforeLines="100" w:before="312" w:afterLines="50" w:after="156"/>
        <w:outlineLvl w:val="1"/>
        <w:rPr>
          <w:iCs/>
          <w:kern w:val="0"/>
          <w:sz w:val="20"/>
          <w:szCs w:val="20"/>
        </w:rPr>
      </w:pPr>
      <w:r>
        <w:rPr>
          <w:rFonts w:ascii="Arial" w:eastAsia="Arial Unicode MS" w:hAnsi="Arial" w:hint="eastAsia"/>
          <w:sz w:val="24"/>
        </w:rPr>
        <w:t>3</w:t>
      </w:r>
      <w:r>
        <w:rPr>
          <w:rFonts w:ascii="Arial" w:eastAsia="Arial Unicode MS" w:hAnsi="Arial"/>
          <w:sz w:val="24"/>
        </w:rPr>
        <w:t>.</w:t>
      </w:r>
      <w:r w:rsidR="008906DB">
        <w:rPr>
          <w:rFonts w:ascii="Arial" w:eastAsia="Arial Unicode MS" w:hAnsi="Arial"/>
          <w:sz w:val="24"/>
        </w:rPr>
        <w:t>2</w:t>
      </w:r>
      <w:bookmarkStart w:id="6" w:name="_GoBack"/>
      <w:bookmarkEnd w:id="6"/>
      <w:r>
        <w:rPr>
          <w:rFonts w:ascii="Arial" w:eastAsia="Arial Unicode MS" w:hAnsi="Arial"/>
          <w:sz w:val="24"/>
        </w:rPr>
        <w:t xml:space="preserve"> </w:t>
      </w:r>
      <w:r>
        <w:rPr>
          <w:rFonts w:ascii="Arial" w:eastAsia="Arial Unicode MS" w:hAnsi="Arial" w:hint="eastAsia"/>
          <w:sz w:val="24"/>
        </w:rPr>
        <w:t xml:space="preserve">Procedure of TA reporting </w:t>
      </w:r>
    </w:p>
    <w:p w:rsidR="00DF1AE4" w:rsidRDefault="00EB6B94">
      <w:pPr>
        <w:widowControl/>
        <w:adjustRightInd w:val="0"/>
        <w:snapToGrid w:val="0"/>
        <w:spacing w:beforeLines="50" w:before="156" w:afterLines="50" w:after="156"/>
        <w:rPr>
          <w:iCs/>
          <w:kern w:val="0"/>
          <w:sz w:val="20"/>
          <w:szCs w:val="20"/>
        </w:rPr>
      </w:pPr>
      <w:r>
        <w:rPr>
          <w:iCs/>
          <w:kern w:val="0"/>
          <w:sz w:val="20"/>
          <w:szCs w:val="20"/>
        </w:rPr>
        <w:t xml:space="preserve">As mentioned above, a unified solution with simplified procedure is preferred. In addition to the </w:t>
      </w:r>
      <w:r>
        <w:rPr>
          <w:rFonts w:hint="eastAsia"/>
          <w:iCs/>
          <w:kern w:val="0"/>
          <w:sz w:val="20"/>
          <w:szCs w:val="20"/>
        </w:rPr>
        <w:t xml:space="preserve">TA reporting in the initial access stage, </w:t>
      </w:r>
      <w:r>
        <w:rPr>
          <w:iCs/>
          <w:kern w:val="0"/>
          <w:sz w:val="20"/>
          <w:szCs w:val="20"/>
        </w:rPr>
        <w:t>in IoT-NTN scenarios, with consideration on the short sporadic transmission, it seems that only limited report may be needed during the RRC connected mode, especially for LEO with shorter serving time for each UE per satellite</w:t>
      </w:r>
      <w:r>
        <w:rPr>
          <w:rFonts w:hint="eastAsia"/>
          <w:iCs/>
          <w:kern w:val="0"/>
          <w:sz w:val="20"/>
          <w:szCs w:val="20"/>
        </w:rPr>
        <w:t>.</w:t>
      </w:r>
    </w:p>
    <w:p w:rsidR="00DF1AE4" w:rsidRDefault="00EB6B94">
      <w:pPr>
        <w:widowControl/>
        <w:adjustRightInd w:val="0"/>
        <w:snapToGrid w:val="0"/>
        <w:spacing w:beforeLines="50" w:before="156" w:afterLines="50" w:after="156"/>
        <w:rPr>
          <w:iCs/>
          <w:kern w:val="0"/>
          <w:sz w:val="20"/>
          <w:szCs w:val="20"/>
        </w:rPr>
      </w:pPr>
      <w:r>
        <w:rPr>
          <w:iCs/>
          <w:kern w:val="0"/>
          <w:sz w:val="20"/>
          <w:szCs w:val="20"/>
        </w:rPr>
        <w:t>In this case, if event trigger mechanism is used,</w:t>
      </w:r>
      <w:r>
        <w:rPr>
          <w:rFonts w:hint="eastAsia"/>
          <w:iCs/>
          <w:kern w:val="0"/>
          <w:sz w:val="20"/>
          <w:szCs w:val="20"/>
        </w:rPr>
        <w:t xml:space="preserve"> </w:t>
      </w:r>
      <w:r>
        <w:rPr>
          <w:iCs/>
          <w:kern w:val="0"/>
          <w:sz w:val="20"/>
          <w:szCs w:val="20"/>
        </w:rPr>
        <w:t>huge latency and signaling overhead required to complete the reporting procedure</w:t>
      </w:r>
      <w:r>
        <w:rPr>
          <w:rFonts w:hint="eastAsia"/>
          <w:iCs/>
          <w:kern w:val="0"/>
          <w:sz w:val="20"/>
          <w:szCs w:val="20"/>
        </w:rPr>
        <w:t xml:space="preserve"> as </w:t>
      </w:r>
      <w:r>
        <w:rPr>
          <w:iCs/>
          <w:kern w:val="0"/>
          <w:sz w:val="20"/>
          <w:szCs w:val="20"/>
        </w:rPr>
        <w:t xml:space="preserve">shown in </w:t>
      </w:r>
      <w:r>
        <w:rPr>
          <w:rFonts w:hint="eastAsia"/>
          <w:iCs/>
          <w:kern w:val="0"/>
          <w:sz w:val="20"/>
          <w:szCs w:val="20"/>
        </w:rPr>
        <w:fldChar w:fldCharType="begin"/>
      </w:r>
      <w:r>
        <w:rPr>
          <w:rFonts w:hint="eastAsia"/>
          <w:iCs/>
          <w:kern w:val="0"/>
          <w:sz w:val="20"/>
          <w:szCs w:val="20"/>
        </w:rPr>
        <w:instrText xml:space="preserve"> REF _Ref32578 \h </w:instrText>
      </w:r>
      <w:r>
        <w:rPr>
          <w:rFonts w:hint="eastAsia"/>
          <w:iCs/>
          <w:kern w:val="0"/>
          <w:sz w:val="20"/>
          <w:szCs w:val="20"/>
        </w:rPr>
      </w:r>
      <w:r>
        <w:rPr>
          <w:rFonts w:hint="eastAsia"/>
          <w:iCs/>
          <w:kern w:val="0"/>
          <w:sz w:val="20"/>
          <w:szCs w:val="20"/>
        </w:rPr>
        <w:fldChar w:fldCharType="separate"/>
      </w:r>
      <w:r>
        <w:rPr>
          <w:iCs/>
          <w:sz w:val="20"/>
          <w:szCs w:val="20"/>
        </w:rPr>
        <w:t>Figure 2</w:t>
      </w:r>
      <w:r>
        <w:rPr>
          <w:rFonts w:hint="eastAsia"/>
          <w:iCs/>
          <w:kern w:val="0"/>
          <w:sz w:val="20"/>
          <w:szCs w:val="20"/>
        </w:rPr>
        <w:fldChar w:fldCharType="end"/>
      </w:r>
      <w:r>
        <w:rPr>
          <w:iCs/>
          <w:kern w:val="0"/>
          <w:sz w:val="20"/>
          <w:szCs w:val="20"/>
        </w:rPr>
        <w:t xml:space="preserve">, </w:t>
      </w:r>
      <w:r w:rsidR="00305953">
        <w:rPr>
          <w:iCs/>
          <w:kern w:val="0"/>
          <w:sz w:val="20"/>
          <w:szCs w:val="20"/>
        </w:rPr>
        <w:t>and especially</w:t>
      </w:r>
      <w:r>
        <w:rPr>
          <w:iCs/>
          <w:kern w:val="0"/>
          <w:sz w:val="20"/>
          <w:szCs w:val="20"/>
        </w:rPr>
        <w:t xml:space="preserve"> the larger repetition number is expected for each DL and UL transmission.</w:t>
      </w:r>
      <w:r>
        <w:rPr>
          <w:rFonts w:hint="eastAsia"/>
          <w:iCs/>
          <w:kern w:val="0"/>
          <w:sz w:val="20"/>
          <w:szCs w:val="20"/>
        </w:rPr>
        <w:t xml:space="preserve"> </w:t>
      </w:r>
      <w:r>
        <w:rPr>
          <w:iCs/>
          <w:kern w:val="0"/>
          <w:sz w:val="20"/>
          <w:szCs w:val="20"/>
        </w:rPr>
        <w:t>Then, the network request based solution can be considered as compromise with balance on the flexibility, accuracy and overhead.</w:t>
      </w:r>
    </w:p>
    <w:p w:rsidR="00DF1AE4" w:rsidRDefault="00EB6B94">
      <w:pPr>
        <w:widowControl/>
        <w:adjustRightInd w:val="0"/>
        <w:snapToGrid w:val="0"/>
        <w:spacing w:beforeLines="50" w:before="156" w:afterLines="50" w:after="156"/>
        <w:jc w:val="center"/>
        <w:rPr>
          <w:i/>
          <w:kern w:val="0"/>
          <w:sz w:val="20"/>
          <w:szCs w:val="20"/>
        </w:rPr>
      </w:pPr>
      <w:r>
        <w:rPr>
          <w:i/>
          <w:noProof/>
          <w:kern w:val="0"/>
          <w:sz w:val="20"/>
          <w:szCs w:val="20"/>
        </w:rPr>
        <w:drawing>
          <wp:inline distT="0" distB="0" distL="114300" distR="114300">
            <wp:extent cx="4229100" cy="803910"/>
            <wp:effectExtent l="0" t="0" r="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29100" cy="803910"/>
                    </a:xfrm>
                    <a:prstGeom prst="rect">
                      <a:avLst/>
                    </a:prstGeom>
                    <a:noFill/>
                    <a:ln>
                      <a:noFill/>
                    </a:ln>
                  </pic:spPr>
                </pic:pic>
              </a:graphicData>
            </a:graphic>
          </wp:inline>
        </w:drawing>
      </w:r>
    </w:p>
    <w:p w:rsidR="00DF1AE4" w:rsidRDefault="00EB6B94">
      <w:pPr>
        <w:pStyle w:val="a3"/>
        <w:widowControl/>
        <w:adjustRightInd w:val="0"/>
        <w:snapToGrid w:val="0"/>
        <w:spacing w:beforeLines="50" w:before="156" w:afterLines="50" w:after="156"/>
        <w:jc w:val="center"/>
        <w:rPr>
          <w:i/>
          <w:kern w:val="0"/>
        </w:rPr>
      </w:pPr>
      <w:bookmarkStart w:id="7" w:name="_Ref32578"/>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Additional delay in event triggered behavior</w:t>
      </w:r>
      <w:bookmarkEnd w:id="7"/>
    </w:p>
    <w:p w:rsidR="00DF1AE4" w:rsidRDefault="00EB6B94">
      <w:pPr>
        <w:widowControl/>
        <w:adjustRightInd w:val="0"/>
        <w:snapToGrid w:val="0"/>
        <w:spacing w:beforeLines="50" w:before="156" w:afterLines="50" w:after="156"/>
        <w:rPr>
          <w:rFonts w:eastAsiaTheme="minorEastAsia"/>
          <w:i/>
          <w:iCs/>
          <w:kern w:val="0"/>
          <w:sz w:val="20"/>
        </w:rPr>
      </w:pPr>
      <w:r>
        <w:rPr>
          <w:rFonts w:eastAsiaTheme="minorEastAsia" w:hint="eastAsia"/>
          <w:b/>
          <w:bCs/>
          <w:i/>
          <w:iCs/>
          <w:kern w:val="0"/>
          <w:sz w:val="20"/>
          <w:lang w:val="en-GB"/>
        </w:rPr>
        <w:lastRenderedPageBreak/>
        <w:t>P</w:t>
      </w:r>
      <w:r>
        <w:rPr>
          <w:rFonts w:eastAsiaTheme="minorEastAsia"/>
          <w:b/>
          <w:bCs/>
          <w:i/>
          <w:iCs/>
          <w:kern w:val="0"/>
          <w:sz w:val="20"/>
          <w:lang w:val="en-GB"/>
        </w:rPr>
        <w:t>roposal</w:t>
      </w:r>
      <w:r>
        <w:rPr>
          <w:rFonts w:eastAsiaTheme="minorEastAsia" w:hint="eastAsia"/>
          <w:b/>
          <w:bCs/>
          <w:i/>
          <w:iCs/>
          <w:kern w:val="0"/>
          <w:sz w:val="20"/>
        </w:rPr>
        <w:t>-9</w:t>
      </w:r>
      <w:r>
        <w:rPr>
          <w:rFonts w:eastAsiaTheme="minorEastAsia"/>
          <w:b/>
          <w:bCs/>
          <w:i/>
          <w:iCs/>
          <w:kern w:val="0"/>
          <w:sz w:val="20"/>
          <w:lang w:val="en-GB"/>
        </w:rPr>
        <w:t>:</w:t>
      </w:r>
      <w:r>
        <w:rPr>
          <w:rFonts w:eastAsiaTheme="minorEastAsia"/>
          <w:i/>
          <w:iCs/>
          <w:kern w:val="0"/>
          <w:sz w:val="20"/>
          <w:lang w:val="en-GB"/>
        </w:rPr>
        <w:t xml:space="preserve"> The network request based TA reporting should be supported</w:t>
      </w:r>
      <w:r>
        <w:rPr>
          <w:rFonts w:eastAsiaTheme="minorEastAsia" w:hint="eastAsia"/>
          <w:i/>
          <w:iCs/>
          <w:kern w:val="0"/>
          <w:sz w:val="20"/>
        </w:rPr>
        <w:t>.</w:t>
      </w:r>
    </w:p>
    <w:p w:rsidR="00DF1AE4" w:rsidRDefault="00EB6B9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UL-DL collision for </w:t>
      </w:r>
      <w:r>
        <w:rPr>
          <w:rFonts w:eastAsia="黑体" w:cs="Times New Roman"/>
          <w:b/>
          <w:bCs/>
          <w:sz w:val="28"/>
          <w:szCs w:val="30"/>
          <w:lang w:val="en-US"/>
        </w:rPr>
        <w:t>half</w:t>
      </w:r>
      <w:r>
        <w:rPr>
          <w:rFonts w:eastAsia="黑体" w:cs="Times New Roman" w:hint="eastAsia"/>
          <w:b/>
          <w:bCs/>
          <w:sz w:val="28"/>
          <w:szCs w:val="30"/>
          <w:lang w:val="en-US"/>
        </w:rPr>
        <w:t xml:space="preserve"> duplex UE</w:t>
      </w:r>
    </w:p>
    <w:p w:rsidR="00DF1AE4" w:rsidRDefault="00EB6B94">
      <w:pPr>
        <w:pStyle w:val="af2"/>
        <w:adjustRightInd w:val="0"/>
        <w:snapToGrid w:val="0"/>
        <w:spacing w:beforeLines="50" w:before="156" w:afterLines="50" w:after="156"/>
        <w:ind w:firstLineChars="0" w:firstLine="0"/>
        <w:rPr>
          <w:sz w:val="20"/>
          <w:szCs w:val="20"/>
        </w:rPr>
      </w:pPr>
      <w:r>
        <w:rPr>
          <w:rFonts w:hint="eastAsia"/>
          <w:sz w:val="20"/>
          <w:szCs w:val="20"/>
        </w:rPr>
        <w:t>It was agreed that reporting UE-specific TA can avoid UL-DL collision in FDD-HD UE</w:t>
      </w:r>
      <w:r>
        <w:rPr>
          <w:sz w:val="20"/>
          <w:szCs w:val="20"/>
        </w:rPr>
        <w:t xml:space="preserve"> in IoT-NTN</w:t>
      </w:r>
      <w:r>
        <w:rPr>
          <w:rFonts w:hint="eastAsia"/>
          <w:sz w:val="20"/>
          <w:szCs w:val="20"/>
        </w:rPr>
        <w:t xml:space="preserve">. Meanwhile, the UL-DL collision issue may arise when two HARQ-Processes is configured, according to </w:t>
      </w:r>
      <w:r>
        <w:rPr>
          <w:sz w:val="20"/>
          <w:szCs w:val="20"/>
        </w:rPr>
        <w:t>existing</w:t>
      </w:r>
      <w:r>
        <w:rPr>
          <w:rFonts w:hint="eastAsia"/>
          <w:sz w:val="20"/>
          <w:szCs w:val="20"/>
        </w:rPr>
        <w:t xml:space="preserve"> specification</w:t>
      </w:r>
      <w:r>
        <w:rPr>
          <w:sz w:val="20"/>
          <w:szCs w:val="20"/>
        </w:rPr>
        <w:t xml:space="preserve"> </w:t>
      </w:r>
      <w:r>
        <w:rPr>
          <w:rFonts w:hint="eastAsia"/>
          <w:sz w:val="20"/>
          <w:szCs w:val="20"/>
        </w:rPr>
        <w:t xml:space="preserve">in TS 36.213/16.6, it should be considered to adapt impact of introduction of K_offset due to large TA effect. For instance, assume NPUSCH transmission of 1st HARQ process start from subframe </w:t>
      </w:r>
      <w:proofErr w:type="spellStart"/>
      <w:r>
        <w:rPr>
          <w:rFonts w:hint="eastAsia"/>
          <w:sz w:val="20"/>
          <w:szCs w:val="20"/>
        </w:rPr>
        <w:t>n+k+K_offset</w:t>
      </w:r>
      <w:proofErr w:type="spellEnd"/>
      <w:r>
        <w:rPr>
          <w:rFonts w:hint="eastAsia"/>
          <w:sz w:val="20"/>
          <w:szCs w:val="20"/>
        </w:rPr>
        <w:t xml:space="preserve">, for single TB unicast case, a UE can continue receiving 2nd DCI Format N0 before subframe n+k-2+K_offset, and the scheduled NPUSCH of second HARQ process will not exceed UL subframe n+k+255+K_offset. Then with the retained constraint in current specification, the collision between the UL transmission and potential 2nd PDCCH reception can be </w:t>
      </w:r>
      <w:r>
        <w:rPr>
          <w:sz w:val="20"/>
          <w:szCs w:val="20"/>
        </w:rPr>
        <w:t>avoided</w:t>
      </w:r>
      <w:r>
        <w:rPr>
          <w:rFonts w:hint="eastAsia"/>
          <w:sz w:val="20"/>
          <w:szCs w:val="20"/>
        </w:rPr>
        <w:t xml:space="preserve">. </w:t>
      </w:r>
    </w:p>
    <w:p w:rsidR="00DF1AE4" w:rsidRDefault="00EB6B94">
      <w:pPr>
        <w:adjustRightInd w:val="0"/>
        <w:snapToGrid w:val="0"/>
        <w:spacing w:beforeLines="50" w:before="156" w:afterLines="50" w:after="156"/>
        <w:rPr>
          <w:i/>
          <w:iCs/>
          <w:sz w:val="20"/>
          <w:szCs w:val="20"/>
        </w:rPr>
      </w:pPr>
      <w:r>
        <w:rPr>
          <w:rFonts w:hint="eastAsia"/>
          <w:b/>
          <w:bCs/>
          <w:i/>
          <w:iCs/>
          <w:sz w:val="20"/>
          <w:szCs w:val="20"/>
        </w:rPr>
        <w:t>Proposal-10:</w:t>
      </w:r>
      <w:r>
        <w:rPr>
          <w:rFonts w:hint="eastAsia"/>
          <w:sz w:val="20"/>
          <w:szCs w:val="20"/>
        </w:rPr>
        <w:t xml:space="preserve"> </w:t>
      </w:r>
      <w:r>
        <w:rPr>
          <w:rFonts w:hint="eastAsia"/>
          <w:i/>
          <w:iCs/>
          <w:sz w:val="20"/>
          <w:szCs w:val="20"/>
        </w:rPr>
        <w:t>For two HARQ-Processes, introduce K_offset to maintain the timing between the UL transmission of 1st HARQ process and potential PDCCH reception of 2nd HARQ process.</w:t>
      </w:r>
    </w:p>
    <w:p w:rsidR="00DF1AE4" w:rsidRDefault="00EB6B9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Other</w:t>
      </w:r>
      <w:r>
        <w:rPr>
          <w:rFonts w:eastAsia="黑体" w:cs="Times New Roman"/>
          <w:b/>
          <w:bCs/>
          <w:sz w:val="28"/>
          <w:szCs w:val="30"/>
          <w:lang w:val="en-US"/>
        </w:rPr>
        <w:t>s</w:t>
      </w:r>
    </w:p>
    <w:p w:rsidR="00DF1AE4" w:rsidRDefault="00EB6B94">
      <w:pPr>
        <w:numPr>
          <w:ilvl w:val="0"/>
          <w:numId w:val="7"/>
        </w:numPr>
        <w:rPr>
          <w:sz w:val="20"/>
          <w:szCs w:val="20"/>
        </w:rPr>
      </w:pPr>
      <w:bookmarkStart w:id="8" w:name="_Hlk80215312"/>
      <w:bookmarkStart w:id="9" w:name="_Ref80215985"/>
      <w:bookmarkStart w:id="10" w:name="_Toc80796772"/>
      <w:r>
        <w:rPr>
          <w:sz w:val="20"/>
          <w:szCs w:val="20"/>
        </w:rPr>
        <w:t>PDCCH monitoring restriction</w:t>
      </w:r>
      <w:bookmarkEnd w:id="8"/>
      <w:r>
        <w:rPr>
          <w:sz w:val="20"/>
          <w:szCs w:val="20"/>
        </w:rPr>
        <w:t>s</w:t>
      </w:r>
      <w:bookmarkEnd w:id="9"/>
      <w:bookmarkEnd w:id="10"/>
    </w:p>
    <w:p w:rsidR="00DF1AE4" w:rsidRDefault="00EB6B94">
      <w:pPr>
        <w:widowControl/>
        <w:adjustRightInd w:val="0"/>
        <w:snapToGrid w:val="0"/>
        <w:spacing w:beforeLines="50" w:before="156" w:afterLines="50" w:after="156"/>
        <w:rPr>
          <w:iCs/>
          <w:kern w:val="0"/>
          <w:sz w:val="20"/>
          <w:szCs w:val="20"/>
        </w:rPr>
      </w:pPr>
      <w:r>
        <w:rPr>
          <w:rFonts w:hint="eastAsia"/>
          <w:iCs/>
          <w:kern w:val="0"/>
          <w:sz w:val="20"/>
          <w:szCs w:val="20"/>
        </w:rPr>
        <w:t xml:space="preserve">In our view, reduced PDCCH monitoring is not needed in this WI. While it should be considered to adapt impact of introduction of K_offset. </w:t>
      </w:r>
    </w:p>
    <w:p w:rsidR="00DF1AE4" w:rsidRDefault="00EB6B94">
      <w:pPr>
        <w:widowControl/>
        <w:numPr>
          <w:ilvl w:val="0"/>
          <w:numId w:val="7"/>
        </w:numPr>
        <w:adjustRightInd w:val="0"/>
        <w:snapToGrid w:val="0"/>
        <w:spacing w:beforeLines="50" w:before="156" w:afterLines="50" w:after="156"/>
        <w:rPr>
          <w:iCs/>
          <w:kern w:val="0"/>
          <w:sz w:val="20"/>
          <w:szCs w:val="20"/>
        </w:rPr>
      </w:pPr>
      <w:bookmarkStart w:id="11" w:name="_Ref80214956"/>
      <w:bookmarkStart w:id="12" w:name="_Toc80796776"/>
      <w:r>
        <w:rPr>
          <w:iCs/>
          <w:kern w:val="0"/>
          <w:sz w:val="20"/>
          <w:szCs w:val="20"/>
        </w:rPr>
        <w:t>Interrupted downlink/Guard subframes</w:t>
      </w:r>
      <w:bookmarkEnd w:id="11"/>
      <w:bookmarkEnd w:id="12"/>
    </w:p>
    <w:p w:rsidR="00DF1AE4" w:rsidRDefault="00EB6B94">
      <w:pPr>
        <w:widowControl/>
        <w:adjustRightInd w:val="0"/>
        <w:snapToGrid w:val="0"/>
        <w:spacing w:beforeLines="50" w:before="156" w:afterLines="50" w:after="156"/>
        <w:rPr>
          <w:iCs/>
          <w:kern w:val="0"/>
          <w:sz w:val="20"/>
          <w:szCs w:val="20"/>
        </w:rPr>
      </w:pPr>
      <w:r>
        <w:rPr>
          <w:rFonts w:hint="eastAsia"/>
          <w:iCs/>
          <w:kern w:val="0"/>
          <w:sz w:val="20"/>
          <w:szCs w:val="20"/>
        </w:rPr>
        <w:t>We think c</w:t>
      </w:r>
      <w:r>
        <w:rPr>
          <w:iCs/>
          <w:kern w:val="0"/>
          <w:sz w:val="20"/>
          <w:szCs w:val="20"/>
        </w:rPr>
        <w:t xml:space="preserve">alculation </w:t>
      </w:r>
      <w:r>
        <w:rPr>
          <w:rFonts w:hint="eastAsia"/>
          <w:iCs/>
          <w:kern w:val="0"/>
          <w:sz w:val="20"/>
          <w:szCs w:val="20"/>
        </w:rPr>
        <w:t>of</w:t>
      </w:r>
      <w:r>
        <w:rPr>
          <w:iCs/>
          <w:kern w:val="0"/>
          <w:sz w:val="20"/>
          <w:szCs w:val="20"/>
        </w:rPr>
        <w:t xml:space="preserve"> guard subframes </w:t>
      </w:r>
      <w:r>
        <w:rPr>
          <w:rFonts w:hint="eastAsia"/>
          <w:iCs/>
          <w:kern w:val="0"/>
          <w:sz w:val="20"/>
          <w:szCs w:val="20"/>
        </w:rPr>
        <w:t xml:space="preserve">does not need to </w:t>
      </w:r>
      <w:r>
        <w:rPr>
          <w:iCs/>
          <w:kern w:val="0"/>
          <w:sz w:val="20"/>
          <w:szCs w:val="20"/>
        </w:rPr>
        <w:t xml:space="preserve">take account of the </w:t>
      </w:r>
      <w:r>
        <w:rPr>
          <w:rFonts w:hint="eastAsia"/>
          <w:iCs/>
          <w:kern w:val="0"/>
          <w:sz w:val="20"/>
          <w:szCs w:val="20"/>
        </w:rPr>
        <w:t xml:space="preserve">exact value of </w:t>
      </w:r>
      <w:r>
        <w:rPr>
          <w:iCs/>
          <w:kern w:val="0"/>
          <w:sz w:val="20"/>
          <w:szCs w:val="20"/>
        </w:rPr>
        <w:t>TA</w:t>
      </w:r>
      <w:r>
        <w:rPr>
          <w:rFonts w:hint="eastAsia"/>
          <w:iCs/>
          <w:kern w:val="0"/>
          <w:sz w:val="20"/>
          <w:szCs w:val="20"/>
        </w:rPr>
        <w:t>, that means the guard subframes in which UE doesn</w:t>
      </w:r>
      <w:r>
        <w:rPr>
          <w:iCs/>
          <w:kern w:val="0"/>
          <w:sz w:val="20"/>
          <w:szCs w:val="20"/>
        </w:rPr>
        <w:t>’</w:t>
      </w:r>
      <w:r>
        <w:rPr>
          <w:rFonts w:hint="eastAsia"/>
          <w:iCs/>
          <w:kern w:val="0"/>
          <w:sz w:val="20"/>
          <w:szCs w:val="20"/>
        </w:rPr>
        <w:t>t monitor PDCCH may be relaxed, when K_offset is larger than TA. However, necessary adaption of timing may be needed considering the TA effect of subsequent UL transmission after the guard subframes.</w:t>
      </w:r>
    </w:p>
    <w:p w:rsidR="00DF1AE4" w:rsidRDefault="00EB6B94">
      <w:pPr>
        <w:widowControl/>
        <w:adjustRightInd w:val="0"/>
        <w:snapToGrid w:val="0"/>
        <w:spacing w:beforeLines="50" w:before="156" w:afterLines="50" w:after="156"/>
        <w:rPr>
          <w:iCs/>
          <w:kern w:val="0"/>
          <w:sz w:val="20"/>
          <w:szCs w:val="20"/>
        </w:rPr>
      </w:pPr>
      <w:r>
        <w:rPr>
          <w:rFonts w:hint="eastAsia"/>
          <w:b/>
          <w:bCs/>
          <w:i/>
          <w:iCs/>
          <w:sz w:val="20"/>
          <w:szCs w:val="20"/>
        </w:rPr>
        <w:t xml:space="preserve">Proposal-11: </w:t>
      </w:r>
      <w:r>
        <w:rPr>
          <w:rFonts w:hint="eastAsia"/>
          <w:i/>
          <w:iCs/>
          <w:kern w:val="0"/>
          <w:sz w:val="20"/>
          <w:szCs w:val="20"/>
        </w:rPr>
        <w:t>Necessary adaption of timing is needed for i</w:t>
      </w:r>
      <w:r>
        <w:rPr>
          <w:i/>
          <w:iCs/>
          <w:kern w:val="0"/>
          <w:sz w:val="20"/>
          <w:szCs w:val="20"/>
        </w:rPr>
        <w:t>nterrupted downlink/Guard subframes</w:t>
      </w:r>
      <w:r>
        <w:rPr>
          <w:rFonts w:hint="eastAsia"/>
          <w:i/>
          <w:iCs/>
          <w:kern w:val="0"/>
          <w:sz w:val="20"/>
          <w:szCs w:val="20"/>
        </w:rPr>
        <w:t>.</w:t>
      </w:r>
    </w:p>
    <w:p w:rsidR="00DF1AE4" w:rsidRDefault="00EB6B9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RRC parameters</w:t>
      </w:r>
    </w:p>
    <w:p w:rsidR="001D33F7" w:rsidRDefault="00EB6B94">
      <w:pPr>
        <w:widowControl/>
        <w:adjustRightInd w:val="0"/>
        <w:snapToGrid w:val="0"/>
        <w:spacing w:beforeLines="50" w:before="156" w:afterLines="50" w:after="156"/>
        <w:rPr>
          <w:iCs/>
          <w:kern w:val="0"/>
          <w:sz w:val="20"/>
          <w:szCs w:val="20"/>
        </w:rPr>
      </w:pPr>
      <w:r>
        <w:rPr>
          <w:rFonts w:hint="eastAsia"/>
          <w:iCs/>
          <w:kern w:val="0"/>
          <w:sz w:val="20"/>
          <w:szCs w:val="20"/>
        </w:rPr>
        <w:t xml:space="preserve">Our views are provided in this section regarding the list of RRC parameters on timing relationship enhancement for IoT-NTN [8]. </w:t>
      </w:r>
      <w:r w:rsidR="00B31487">
        <w:rPr>
          <w:iCs/>
          <w:kern w:val="0"/>
          <w:sz w:val="20"/>
          <w:szCs w:val="20"/>
        </w:rPr>
        <w:t xml:space="preserve">Given the current progress, all parameters listed in the </w:t>
      </w:r>
      <w:r w:rsidR="00B31487">
        <w:rPr>
          <w:iCs/>
          <w:kern w:val="0"/>
          <w:sz w:val="20"/>
          <w:szCs w:val="20"/>
        </w:rPr>
        <w:fldChar w:fldCharType="begin"/>
      </w:r>
      <w:r w:rsidR="00B31487">
        <w:rPr>
          <w:iCs/>
          <w:kern w:val="0"/>
          <w:sz w:val="20"/>
          <w:szCs w:val="20"/>
        </w:rPr>
        <w:instrText xml:space="preserve"> REF _Ref83842451 \h </w:instrText>
      </w:r>
      <w:r w:rsidR="00B31487">
        <w:rPr>
          <w:iCs/>
          <w:kern w:val="0"/>
          <w:sz w:val="20"/>
          <w:szCs w:val="20"/>
        </w:rPr>
      </w:r>
      <w:r w:rsidR="00B31487">
        <w:rPr>
          <w:iCs/>
          <w:kern w:val="0"/>
          <w:sz w:val="20"/>
          <w:szCs w:val="20"/>
        </w:rPr>
        <w:fldChar w:fldCharType="separate"/>
      </w:r>
      <w:r w:rsidR="00B31487" w:rsidRPr="00C46DBA">
        <w:t xml:space="preserve">Table </w:t>
      </w:r>
      <w:r w:rsidR="00B31487" w:rsidRPr="00C46DBA">
        <w:rPr>
          <w:noProof/>
        </w:rPr>
        <w:t>1</w:t>
      </w:r>
      <w:r w:rsidR="00B31487">
        <w:rPr>
          <w:iCs/>
          <w:kern w:val="0"/>
          <w:sz w:val="20"/>
          <w:szCs w:val="20"/>
        </w:rPr>
        <w:fldChar w:fldCharType="end"/>
      </w:r>
      <w:r w:rsidR="00B31487">
        <w:rPr>
          <w:iCs/>
          <w:kern w:val="0"/>
          <w:sz w:val="20"/>
          <w:szCs w:val="20"/>
        </w:rPr>
        <w:t xml:space="preserve">, should be removed from the list. More specifically, similar as NR-NTN, only the MAC CE updates on the K_offset may be needed, and no additional RRC parameter is needed. </w:t>
      </w:r>
    </w:p>
    <w:p w:rsidR="00B31487" w:rsidRDefault="00B31487">
      <w:pPr>
        <w:widowControl/>
        <w:adjustRightInd w:val="0"/>
        <w:snapToGrid w:val="0"/>
        <w:spacing w:beforeLines="50" w:before="156" w:afterLines="50" w:after="156"/>
        <w:rPr>
          <w:iCs/>
          <w:kern w:val="0"/>
          <w:sz w:val="20"/>
          <w:szCs w:val="20"/>
        </w:rPr>
      </w:pPr>
      <w:r>
        <w:rPr>
          <w:iCs/>
          <w:kern w:val="0"/>
          <w:sz w:val="20"/>
          <w:szCs w:val="20"/>
        </w:rPr>
        <w:t xml:space="preserve">For the </w:t>
      </w:r>
      <w:r w:rsidR="00CD5F5D">
        <w:rPr>
          <w:iCs/>
          <w:kern w:val="0"/>
          <w:sz w:val="20"/>
          <w:szCs w:val="20"/>
        </w:rPr>
        <w:t xml:space="preserve">TA report related parameter, there is no agreement to justify the new RRC parameter and based on the proposal in Section 3, the solution can be done without any RRC impacts once the granularity for report is fixed. </w:t>
      </w:r>
    </w:p>
    <w:p w:rsidR="003F4DB0" w:rsidRDefault="00EB6B94">
      <w:pPr>
        <w:widowControl/>
        <w:adjustRightInd w:val="0"/>
        <w:snapToGrid w:val="0"/>
        <w:spacing w:beforeLines="50" w:before="156" w:afterLines="50" w:after="156"/>
        <w:rPr>
          <w:i/>
          <w:iCs/>
          <w:sz w:val="20"/>
          <w:szCs w:val="20"/>
        </w:rPr>
      </w:pPr>
      <w:r>
        <w:rPr>
          <w:rFonts w:hint="eastAsia"/>
          <w:b/>
          <w:bCs/>
          <w:i/>
          <w:iCs/>
          <w:sz w:val="20"/>
          <w:szCs w:val="20"/>
        </w:rPr>
        <w:t xml:space="preserve">Proposal-12: </w:t>
      </w:r>
      <w:r w:rsidR="00CD5F5D" w:rsidRPr="00CD5F5D">
        <w:rPr>
          <w:bCs/>
          <w:i/>
          <w:iCs/>
          <w:sz w:val="20"/>
          <w:szCs w:val="20"/>
        </w:rPr>
        <w:t>The updates on the RRC parameters listed in Table-1 should be supported.</w:t>
      </w:r>
      <w:r w:rsidR="00CD5F5D" w:rsidRPr="00CD5F5D">
        <w:rPr>
          <w:i/>
          <w:iCs/>
          <w:sz w:val="20"/>
          <w:szCs w:val="20"/>
        </w:rPr>
        <w:t xml:space="preserve"> </w:t>
      </w:r>
    </w:p>
    <w:p w:rsidR="00DF1AE4" w:rsidRDefault="00EB6B94">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DF1AE4" w:rsidRDefault="00EB6B94">
      <w:pPr>
        <w:adjustRightInd w:val="0"/>
        <w:snapToGrid w:val="0"/>
        <w:spacing w:before="50" w:afterLines="50" w:after="156"/>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lang w:val="en-GB"/>
        </w:rPr>
        <w:t>discussion</w:t>
      </w:r>
      <w:r>
        <w:rPr>
          <w:kern w:val="0"/>
          <w:sz w:val="20"/>
          <w:szCs w:val="20"/>
          <w:lang w:val="en-GB"/>
        </w:rPr>
        <w:t xml:space="preserve"> </w:t>
      </w:r>
      <w:r>
        <w:rPr>
          <w:rFonts w:hint="eastAsia"/>
          <w:kern w:val="0"/>
          <w:sz w:val="20"/>
          <w:szCs w:val="20"/>
          <w:lang w:val="en-GB"/>
        </w:rPr>
        <w:t xml:space="preserve">on </w:t>
      </w:r>
      <w:r>
        <w:rPr>
          <w:rFonts w:hint="eastAsia"/>
          <w:kern w:val="0"/>
          <w:sz w:val="20"/>
          <w:szCs w:val="20"/>
        </w:rPr>
        <w:t>remaining</w:t>
      </w:r>
      <w:r>
        <w:rPr>
          <w:kern w:val="0"/>
          <w:sz w:val="20"/>
          <w:szCs w:val="20"/>
          <w:lang w:val="en-GB"/>
        </w:rPr>
        <w:t xml:space="preserve"> timing relationship</w:t>
      </w:r>
      <w:r>
        <w:rPr>
          <w:rFonts w:hint="eastAsia"/>
          <w:kern w:val="0"/>
          <w:sz w:val="20"/>
          <w:szCs w:val="20"/>
        </w:rPr>
        <w:t>, UL scheduling for FDD-HD, and UE-specific TA maintenance and reporting are</w:t>
      </w:r>
      <w:r>
        <w:rPr>
          <w:kern w:val="0"/>
          <w:sz w:val="20"/>
          <w:szCs w:val="20"/>
        </w:rPr>
        <w:t xml:space="preserve"> conducted, </w:t>
      </w:r>
      <w:r>
        <w:rPr>
          <w:kern w:val="0"/>
          <w:sz w:val="20"/>
          <w:szCs w:val="20"/>
          <w:lang w:val="en-GB"/>
        </w:rPr>
        <w:t xml:space="preserve">with following proposals: </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Proposal-1: </w:t>
      </w:r>
      <w:r w:rsidRPr="00CD5F5D">
        <w:rPr>
          <w:rFonts w:hint="eastAsia"/>
          <w:bCs/>
          <w:i/>
          <w:iCs/>
          <w:sz w:val="20"/>
          <w:szCs w:val="20"/>
        </w:rPr>
        <w:t xml:space="preserve">For NB-IoT/eMTC over NTN, start or restart of </w:t>
      </w:r>
      <w:proofErr w:type="spellStart"/>
      <w:r w:rsidRPr="00CD5F5D">
        <w:rPr>
          <w:rFonts w:hint="eastAsia"/>
          <w:bCs/>
          <w:i/>
          <w:iCs/>
          <w:sz w:val="20"/>
          <w:szCs w:val="20"/>
        </w:rPr>
        <w:t>pur-ResponseWindowTimer</w:t>
      </w:r>
      <w:proofErr w:type="spellEnd"/>
      <w:r w:rsidRPr="00CD5F5D">
        <w:rPr>
          <w:rFonts w:hint="eastAsia"/>
          <w:bCs/>
          <w:i/>
          <w:iCs/>
          <w:sz w:val="20"/>
          <w:szCs w:val="20"/>
        </w:rPr>
        <w:t xml:space="preserve"> should be delayed with K_offset.</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Proposal-2: </w:t>
      </w:r>
      <w:r w:rsidRPr="00CD5F5D">
        <w:rPr>
          <w:rFonts w:hint="eastAsia"/>
          <w:bCs/>
          <w:i/>
          <w:iCs/>
          <w:sz w:val="20"/>
          <w:szCs w:val="20"/>
        </w:rPr>
        <w:t>For NB-IoT/eMTC over NTN, introduce K_offset to enhance the timing of PDCCH order to PRACH.</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Proposal-3: </w:t>
      </w:r>
      <w:r w:rsidRPr="00CD5F5D">
        <w:rPr>
          <w:rFonts w:hint="eastAsia"/>
          <w:bCs/>
          <w:i/>
          <w:iCs/>
          <w:sz w:val="20"/>
          <w:szCs w:val="20"/>
        </w:rPr>
        <w:t>For NB-IoT/eMTC over NTN, introduce K_offset to enhance the timing of preamble retransmission.</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Proposal-4: </w:t>
      </w:r>
      <w:r w:rsidRPr="00CD5F5D">
        <w:rPr>
          <w:rFonts w:hint="eastAsia"/>
          <w:bCs/>
          <w:i/>
          <w:iCs/>
          <w:sz w:val="20"/>
          <w:szCs w:val="20"/>
        </w:rPr>
        <w:t xml:space="preserve">Reuse the signalling mechanism on indication/updates of K_offset and/or </w:t>
      </w:r>
      <w:proofErr w:type="spellStart"/>
      <w:r w:rsidRPr="00CD5F5D">
        <w:rPr>
          <w:rFonts w:hint="eastAsia"/>
          <w:bCs/>
          <w:i/>
          <w:iCs/>
          <w:sz w:val="20"/>
          <w:szCs w:val="20"/>
        </w:rPr>
        <w:t>Kmac</w:t>
      </w:r>
      <w:proofErr w:type="spellEnd"/>
      <w:r w:rsidRPr="00CD5F5D">
        <w:rPr>
          <w:rFonts w:hint="eastAsia"/>
          <w:bCs/>
          <w:i/>
          <w:iCs/>
          <w:sz w:val="20"/>
          <w:szCs w:val="20"/>
        </w:rPr>
        <w:t xml:space="preserve"> concluded in NR-NTN.</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Proposal-5: </w:t>
      </w:r>
      <w:r w:rsidRPr="00CD5F5D">
        <w:rPr>
          <w:rFonts w:hint="eastAsia"/>
          <w:bCs/>
          <w:i/>
          <w:iCs/>
          <w:sz w:val="20"/>
          <w:szCs w:val="20"/>
        </w:rPr>
        <w:t>A unified solution for TA reporting should be supported for both NR-NTN and IoT-NTN.</w:t>
      </w:r>
    </w:p>
    <w:p w:rsidR="00DF1AE4" w:rsidRPr="00CD5F5D" w:rsidRDefault="00EB6B94">
      <w:pPr>
        <w:pStyle w:val="af2"/>
        <w:adjustRightInd w:val="0"/>
        <w:snapToGrid w:val="0"/>
        <w:spacing w:beforeLines="50" w:before="156" w:afterLines="50" w:after="156"/>
        <w:ind w:firstLineChars="0" w:firstLine="0"/>
        <w:rPr>
          <w:bCs/>
          <w:i/>
          <w:iCs/>
          <w:sz w:val="20"/>
          <w:szCs w:val="20"/>
        </w:rPr>
      </w:pPr>
      <w:r>
        <w:rPr>
          <w:rFonts w:hint="eastAsia"/>
          <w:b/>
          <w:bCs/>
          <w:i/>
          <w:iCs/>
          <w:sz w:val="20"/>
          <w:szCs w:val="20"/>
        </w:rPr>
        <w:t xml:space="preserve">Proposal-6: </w:t>
      </w:r>
      <w:r w:rsidRPr="00CD5F5D">
        <w:rPr>
          <w:rFonts w:hint="eastAsia"/>
          <w:bCs/>
          <w:i/>
          <w:iCs/>
          <w:sz w:val="20"/>
          <w:szCs w:val="20"/>
        </w:rPr>
        <w:t xml:space="preserve">At least the report of the full applied TA for UL transmission should be supported in the first </w:t>
      </w:r>
      <w:r w:rsidRPr="00CD5F5D">
        <w:rPr>
          <w:rFonts w:hint="eastAsia"/>
          <w:bCs/>
          <w:i/>
          <w:iCs/>
          <w:sz w:val="20"/>
          <w:szCs w:val="20"/>
        </w:rPr>
        <w:lastRenderedPageBreak/>
        <w:t xml:space="preserve">report. </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Proposal-7: </w:t>
      </w:r>
      <w:r w:rsidRPr="00CD5F5D">
        <w:rPr>
          <w:rFonts w:hint="eastAsia"/>
          <w:bCs/>
          <w:i/>
          <w:iCs/>
          <w:sz w:val="20"/>
          <w:szCs w:val="20"/>
        </w:rPr>
        <w:t>For the subsequent TA reporting if required in IoT case with short transmission, indication of differential value (e.g., via one bit) can be considered to reduce the signalling overhead.</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Proposal-8: </w:t>
      </w:r>
      <w:r w:rsidRPr="00CD5F5D">
        <w:rPr>
          <w:rFonts w:hint="eastAsia"/>
          <w:bCs/>
          <w:i/>
          <w:iCs/>
          <w:sz w:val="20"/>
          <w:szCs w:val="20"/>
        </w:rPr>
        <w:t>In case of segment pre-compensation, the latest TA value applied for the last segment should be reported.</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lang w:val="en-GB"/>
        </w:rPr>
        <w:t>Proposal</w:t>
      </w:r>
      <w:r>
        <w:rPr>
          <w:rFonts w:hint="eastAsia"/>
          <w:b/>
          <w:bCs/>
          <w:i/>
          <w:iCs/>
          <w:sz w:val="20"/>
          <w:szCs w:val="20"/>
        </w:rPr>
        <w:t>-9</w:t>
      </w:r>
      <w:r>
        <w:rPr>
          <w:rFonts w:hint="eastAsia"/>
          <w:b/>
          <w:bCs/>
          <w:i/>
          <w:iCs/>
          <w:sz w:val="20"/>
          <w:szCs w:val="20"/>
          <w:lang w:val="en-GB"/>
        </w:rPr>
        <w:t xml:space="preserve">: </w:t>
      </w:r>
      <w:r w:rsidRPr="00CD5F5D">
        <w:rPr>
          <w:rFonts w:hint="eastAsia"/>
          <w:bCs/>
          <w:i/>
          <w:iCs/>
          <w:sz w:val="20"/>
          <w:szCs w:val="20"/>
          <w:lang w:val="en-GB"/>
        </w:rPr>
        <w:t>The network request based TA reporting should be supported</w:t>
      </w:r>
      <w:r w:rsidRPr="00CD5F5D">
        <w:rPr>
          <w:rFonts w:hint="eastAsia"/>
          <w:bCs/>
          <w:i/>
          <w:iCs/>
          <w:sz w:val="20"/>
          <w:szCs w:val="20"/>
        </w:rPr>
        <w:t>.</w:t>
      </w:r>
    </w:p>
    <w:p w:rsidR="00DF1AE4" w:rsidRDefault="00EB6B94">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Proposal-10: </w:t>
      </w:r>
      <w:r w:rsidRPr="00CD5F5D">
        <w:rPr>
          <w:rFonts w:hint="eastAsia"/>
          <w:bCs/>
          <w:i/>
          <w:iCs/>
          <w:sz w:val="20"/>
          <w:szCs w:val="20"/>
        </w:rPr>
        <w:t>For two HARQ-Processes, introduce K_offset to maintain the timing between the UL transmission of 1st HARQ process and potential PDCCH reception of 2nd HARQ process.</w:t>
      </w:r>
    </w:p>
    <w:p w:rsidR="00CD5F5D" w:rsidRDefault="00CD5F5D" w:rsidP="00CD5F5D">
      <w:pPr>
        <w:widowControl/>
        <w:adjustRightInd w:val="0"/>
        <w:snapToGrid w:val="0"/>
        <w:spacing w:beforeLines="50" w:before="156" w:afterLines="50" w:after="156"/>
        <w:rPr>
          <w:iCs/>
          <w:kern w:val="0"/>
          <w:sz w:val="20"/>
          <w:szCs w:val="20"/>
        </w:rPr>
      </w:pPr>
      <w:r>
        <w:rPr>
          <w:rFonts w:hint="eastAsia"/>
          <w:b/>
          <w:bCs/>
          <w:i/>
          <w:iCs/>
          <w:sz w:val="20"/>
          <w:szCs w:val="20"/>
        </w:rPr>
        <w:t xml:space="preserve">Proposal-11: </w:t>
      </w:r>
      <w:r>
        <w:rPr>
          <w:rFonts w:hint="eastAsia"/>
          <w:i/>
          <w:iCs/>
          <w:kern w:val="0"/>
          <w:sz w:val="20"/>
          <w:szCs w:val="20"/>
        </w:rPr>
        <w:t>Necessary adaption of timing is needed for i</w:t>
      </w:r>
      <w:r>
        <w:rPr>
          <w:i/>
          <w:iCs/>
          <w:kern w:val="0"/>
          <w:sz w:val="20"/>
          <w:szCs w:val="20"/>
        </w:rPr>
        <w:t>nterrupted downlink/Guard subframes</w:t>
      </w:r>
      <w:r>
        <w:rPr>
          <w:rFonts w:hint="eastAsia"/>
          <w:i/>
          <w:iCs/>
          <w:kern w:val="0"/>
          <w:sz w:val="20"/>
          <w:szCs w:val="20"/>
        </w:rPr>
        <w:t>.</w:t>
      </w:r>
    </w:p>
    <w:p w:rsidR="00CD5F5D" w:rsidRDefault="00CD5F5D" w:rsidP="00CD5F5D">
      <w:pPr>
        <w:widowControl/>
        <w:adjustRightInd w:val="0"/>
        <w:snapToGrid w:val="0"/>
        <w:spacing w:beforeLines="50" w:before="156" w:afterLines="50" w:after="156"/>
        <w:rPr>
          <w:i/>
          <w:iCs/>
          <w:sz w:val="20"/>
          <w:szCs w:val="20"/>
        </w:rPr>
      </w:pPr>
      <w:r>
        <w:rPr>
          <w:rFonts w:hint="eastAsia"/>
          <w:b/>
          <w:bCs/>
          <w:i/>
          <w:iCs/>
          <w:sz w:val="20"/>
          <w:szCs w:val="20"/>
        </w:rPr>
        <w:t xml:space="preserve">Proposal-12: </w:t>
      </w:r>
      <w:r w:rsidRPr="00CD5F5D">
        <w:rPr>
          <w:bCs/>
          <w:i/>
          <w:iCs/>
          <w:sz w:val="20"/>
          <w:szCs w:val="20"/>
        </w:rPr>
        <w:t>The updates on the RRC parameters listed in Table-1 should be supported.</w:t>
      </w:r>
      <w:r w:rsidRPr="00CD5F5D">
        <w:rPr>
          <w:i/>
          <w:iCs/>
          <w:sz w:val="20"/>
          <w:szCs w:val="20"/>
        </w:rPr>
        <w:t xml:space="preserve"> </w:t>
      </w:r>
    </w:p>
    <w:p w:rsidR="00DF1AE4" w:rsidRDefault="00EB6B94">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rsidR="00DF1AE4" w:rsidRDefault="00EB6B94">
      <w:pPr>
        <w:pStyle w:val="ListParagraph1"/>
        <w:widowControl/>
        <w:numPr>
          <w:ilvl w:val="0"/>
          <w:numId w:val="8"/>
        </w:numPr>
        <w:jc w:val="left"/>
        <w:rPr>
          <w:sz w:val="20"/>
          <w:szCs w:val="20"/>
        </w:rPr>
      </w:pPr>
      <w:bookmarkStart w:id="13" w:name="_Ref54300673"/>
      <w:bookmarkStart w:id="14" w:name="_Ref40282619"/>
      <w:r>
        <w:rPr>
          <w:rFonts w:hint="eastAsia"/>
          <w:sz w:val="20"/>
          <w:szCs w:val="20"/>
        </w:rPr>
        <w:t>Chair</w:t>
      </w:r>
      <w:r>
        <w:rPr>
          <w:sz w:val="20"/>
          <w:szCs w:val="20"/>
        </w:rPr>
        <w:t>’</w:t>
      </w:r>
      <w:r>
        <w:rPr>
          <w:rFonts w:hint="eastAsia"/>
          <w:sz w:val="20"/>
          <w:szCs w:val="20"/>
        </w:rPr>
        <w:t>s notes RAN1#106-e final.</w:t>
      </w:r>
    </w:p>
    <w:p w:rsidR="00DF1AE4" w:rsidRDefault="001F1DD6" w:rsidP="001F1DD6">
      <w:pPr>
        <w:pStyle w:val="ListParagraph1"/>
        <w:widowControl/>
        <w:numPr>
          <w:ilvl w:val="0"/>
          <w:numId w:val="8"/>
        </w:numPr>
        <w:jc w:val="left"/>
        <w:rPr>
          <w:sz w:val="20"/>
          <w:szCs w:val="20"/>
        </w:rPr>
      </w:pPr>
      <w:r w:rsidRPr="001F1DD6">
        <w:rPr>
          <w:sz w:val="20"/>
          <w:szCs w:val="20"/>
        </w:rPr>
        <w:t>R1-2109849</w:t>
      </w:r>
      <w:r>
        <w:rPr>
          <w:sz w:val="20"/>
          <w:szCs w:val="20"/>
        </w:rPr>
        <w:t xml:space="preserve"> </w:t>
      </w:r>
      <w:r w:rsidRPr="001F1DD6">
        <w:rPr>
          <w:sz w:val="20"/>
          <w:szCs w:val="20"/>
        </w:rPr>
        <w:t>Discussion on additional enhancement for IoT-NTN</w:t>
      </w:r>
      <w:r w:rsidR="00EB6B94">
        <w:rPr>
          <w:rFonts w:hint="eastAsia"/>
          <w:sz w:val="20"/>
          <w:szCs w:val="20"/>
        </w:rPr>
        <w:t>, ZTE.</w:t>
      </w:r>
    </w:p>
    <w:p w:rsidR="00DF1AE4" w:rsidRDefault="00EB6B94">
      <w:pPr>
        <w:pStyle w:val="ListParagraph1"/>
        <w:widowControl/>
        <w:numPr>
          <w:ilvl w:val="0"/>
          <w:numId w:val="8"/>
        </w:numPr>
        <w:jc w:val="left"/>
        <w:rPr>
          <w:sz w:val="20"/>
          <w:szCs w:val="20"/>
        </w:rPr>
      </w:pPr>
      <w:r>
        <w:rPr>
          <w:rFonts w:hint="eastAsia"/>
          <w:sz w:val="20"/>
          <w:szCs w:val="20"/>
        </w:rPr>
        <w:t xml:space="preserve">TS 36.321 (E-UTRA); </w:t>
      </w:r>
      <w:r>
        <w:rPr>
          <w:sz w:val="20"/>
          <w:szCs w:val="20"/>
        </w:rPr>
        <w:t>Medium Access Control (MAC) protocol specification</w:t>
      </w:r>
      <w:r>
        <w:rPr>
          <w:rFonts w:hint="eastAsia"/>
          <w:sz w:val="20"/>
          <w:szCs w:val="20"/>
        </w:rPr>
        <w:t>.</w:t>
      </w:r>
    </w:p>
    <w:p w:rsidR="00DF1AE4" w:rsidRDefault="00EB6B94">
      <w:pPr>
        <w:pStyle w:val="ListParagraph1"/>
        <w:widowControl/>
        <w:numPr>
          <w:ilvl w:val="0"/>
          <w:numId w:val="8"/>
        </w:numPr>
        <w:jc w:val="left"/>
        <w:rPr>
          <w:sz w:val="20"/>
          <w:szCs w:val="20"/>
        </w:rPr>
      </w:pPr>
      <w:r>
        <w:rPr>
          <w:rFonts w:hint="eastAsia"/>
          <w:sz w:val="20"/>
          <w:szCs w:val="20"/>
        </w:rPr>
        <w:t>TS 36.213 (E-UTRA); Physical layer procedures.</w:t>
      </w:r>
    </w:p>
    <w:p w:rsidR="00DF1AE4" w:rsidRDefault="00EB6B94">
      <w:pPr>
        <w:pStyle w:val="ListParagraph1"/>
        <w:widowControl/>
        <w:numPr>
          <w:ilvl w:val="0"/>
          <w:numId w:val="8"/>
        </w:numPr>
        <w:jc w:val="left"/>
        <w:rPr>
          <w:sz w:val="20"/>
          <w:szCs w:val="20"/>
        </w:rPr>
      </w:pPr>
      <w:r>
        <w:rPr>
          <w:rFonts w:hint="eastAsia"/>
          <w:sz w:val="20"/>
          <w:szCs w:val="20"/>
        </w:rPr>
        <w:t>R1-2108637, AI8_15_2_FL Summary IoT NTN Timing Relationships, Sony.</w:t>
      </w:r>
    </w:p>
    <w:p w:rsidR="00DF1AE4" w:rsidRDefault="00EB6B94">
      <w:pPr>
        <w:pStyle w:val="ListParagraph1"/>
        <w:widowControl/>
        <w:numPr>
          <w:ilvl w:val="0"/>
          <w:numId w:val="8"/>
        </w:numPr>
        <w:jc w:val="left"/>
        <w:rPr>
          <w:sz w:val="20"/>
          <w:szCs w:val="20"/>
        </w:rPr>
      </w:pPr>
      <w:r>
        <w:rPr>
          <w:rFonts w:hint="eastAsia"/>
          <w:sz w:val="20"/>
          <w:szCs w:val="20"/>
        </w:rPr>
        <w:t>R2-115e Chair Notes.</w:t>
      </w:r>
    </w:p>
    <w:bookmarkEnd w:id="13"/>
    <w:bookmarkEnd w:id="14"/>
    <w:p w:rsidR="00DF1AE4" w:rsidRDefault="001F1DD6" w:rsidP="001F1DD6">
      <w:pPr>
        <w:pStyle w:val="ListParagraph1"/>
        <w:widowControl/>
        <w:numPr>
          <w:ilvl w:val="0"/>
          <w:numId w:val="8"/>
        </w:numPr>
        <w:jc w:val="left"/>
        <w:rPr>
          <w:sz w:val="20"/>
          <w:szCs w:val="20"/>
        </w:rPr>
      </w:pPr>
      <w:r w:rsidRPr="001F1DD6">
        <w:rPr>
          <w:sz w:val="20"/>
          <w:szCs w:val="20"/>
        </w:rPr>
        <w:t>R1-2109848</w:t>
      </w:r>
      <w:r>
        <w:rPr>
          <w:sz w:val="20"/>
          <w:szCs w:val="20"/>
        </w:rPr>
        <w:t xml:space="preserve"> </w:t>
      </w:r>
      <w:r w:rsidRPr="001F1DD6">
        <w:rPr>
          <w:sz w:val="20"/>
          <w:szCs w:val="20"/>
        </w:rPr>
        <w:t>Discussion on timing relationship for IoT-NTN</w:t>
      </w:r>
      <w:r w:rsidR="00EB6B94">
        <w:rPr>
          <w:rFonts w:hint="eastAsia"/>
          <w:sz w:val="20"/>
          <w:szCs w:val="20"/>
        </w:rPr>
        <w:t>, ZTE.</w:t>
      </w:r>
    </w:p>
    <w:p w:rsidR="00DF1AE4" w:rsidRDefault="00EB6B94">
      <w:pPr>
        <w:pStyle w:val="ListParagraph1"/>
        <w:widowControl/>
        <w:numPr>
          <w:ilvl w:val="0"/>
          <w:numId w:val="8"/>
        </w:numPr>
        <w:jc w:val="left"/>
        <w:rPr>
          <w:sz w:val="20"/>
          <w:szCs w:val="20"/>
        </w:rPr>
      </w:pPr>
      <w:r>
        <w:rPr>
          <w:sz w:val="20"/>
          <w:szCs w:val="20"/>
        </w:rPr>
        <w:t>R1-2108671</w:t>
      </w:r>
      <w:r w:rsidR="003F4DB0">
        <w:rPr>
          <w:sz w:val="20"/>
          <w:szCs w:val="20"/>
        </w:rPr>
        <w:t>, Summary</w:t>
      </w:r>
      <w:r>
        <w:rPr>
          <w:rFonts w:hint="eastAsia"/>
          <w:sz w:val="20"/>
          <w:szCs w:val="20"/>
        </w:rPr>
        <w:t xml:space="preserve"> on </w:t>
      </w:r>
      <w:r w:rsidR="003F4DB0">
        <w:rPr>
          <w:sz w:val="20"/>
          <w:szCs w:val="20"/>
        </w:rPr>
        <w:t>- [</w:t>
      </w:r>
      <w:r>
        <w:rPr>
          <w:rFonts w:hint="eastAsia"/>
          <w:sz w:val="20"/>
          <w:szCs w:val="20"/>
        </w:rPr>
        <w:t>Post-106-e-Rel17-RRC-15] IoT over NTN, Sony.</w:t>
      </w:r>
    </w:p>
    <w:p w:rsidR="001D33F7" w:rsidRPr="001F1DD6" w:rsidRDefault="001D33F7" w:rsidP="003F4DB0">
      <w:pPr>
        <w:pStyle w:val="ListParagraph1"/>
        <w:widowControl/>
        <w:tabs>
          <w:tab w:val="left" w:pos="360"/>
        </w:tabs>
        <w:jc w:val="left"/>
        <w:rPr>
          <w:sz w:val="20"/>
          <w:szCs w:val="20"/>
        </w:rPr>
        <w:sectPr w:rsidR="001D33F7" w:rsidRPr="001F1DD6">
          <w:headerReference w:type="default" r:id="rId11"/>
          <w:footerReference w:type="even" r:id="rId12"/>
          <w:footerReference w:type="default" r:id="rId13"/>
          <w:pgSz w:w="11906" w:h="16838"/>
          <w:pgMar w:top="1440" w:right="1800" w:bottom="1440" w:left="1800" w:header="851" w:footer="992" w:gutter="0"/>
          <w:cols w:space="720"/>
          <w:docGrid w:type="lines" w:linePitch="312"/>
        </w:sectPr>
      </w:pPr>
    </w:p>
    <w:p w:rsidR="00C46DBA" w:rsidRPr="001D33F7" w:rsidRDefault="00C46DBA" w:rsidP="00C46DBA">
      <w:pPr>
        <w:tabs>
          <w:tab w:val="left" w:pos="432"/>
          <w:tab w:val="left" w:pos="720"/>
          <w:tab w:val="left" w:pos="4827"/>
        </w:tabs>
        <w:autoSpaceDE w:val="0"/>
        <w:autoSpaceDN w:val="0"/>
        <w:adjustRightInd w:val="0"/>
        <w:spacing w:after="120"/>
        <w:ind w:left="432" w:hanging="432"/>
        <w:outlineLvl w:val="0"/>
        <w:rPr>
          <w:b/>
          <w:bCs/>
          <w:sz w:val="28"/>
          <w:szCs w:val="28"/>
          <w:lang w:val="en-GB" w:eastAsia="en-US"/>
        </w:rPr>
      </w:pPr>
      <w:r w:rsidRPr="001D33F7">
        <w:rPr>
          <w:rFonts w:hint="eastAsia"/>
          <w:b/>
          <w:bCs/>
          <w:sz w:val="28"/>
          <w:szCs w:val="28"/>
          <w:lang w:val="en-GB" w:eastAsia="en-US"/>
        </w:rPr>
        <w:lastRenderedPageBreak/>
        <w:t>Appendix</w:t>
      </w:r>
      <w:r>
        <w:rPr>
          <w:b/>
          <w:bCs/>
          <w:sz w:val="28"/>
          <w:szCs w:val="28"/>
          <w:lang w:val="en-GB" w:eastAsia="en-US"/>
        </w:rPr>
        <w:t>:</w:t>
      </w:r>
    </w:p>
    <w:p w:rsidR="00C46DBA" w:rsidRPr="00C46DBA" w:rsidRDefault="00C46DBA" w:rsidP="00C46DBA">
      <w:pPr>
        <w:pStyle w:val="a3"/>
        <w:keepNext/>
        <w:jc w:val="center"/>
        <w:rPr>
          <w:rFonts w:ascii="Times New Roman" w:hAnsi="Times New Roman" w:cs="Times New Roman"/>
        </w:rPr>
      </w:pPr>
      <w:bookmarkStart w:id="15" w:name="_Ref83842451"/>
      <w:r w:rsidRPr="00C46DBA">
        <w:rPr>
          <w:rFonts w:ascii="Times New Roman" w:hAnsi="Times New Roman" w:cs="Times New Roman"/>
        </w:rPr>
        <w:t xml:space="preserve">Table </w:t>
      </w:r>
      <w:r w:rsidRPr="00C46DBA">
        <w:rPr>
          <w:rFonts w:ascii="Times New Roman" w:hAnsi="Times New Roman" w:cs="Times New Roman"/>
        </w:rPr>
        <w:fldChar w:fldCharType="begin"/>
      </w:r>
      <w:r w:rsidRPr="00C46DBA">
        <w:rPr>
          <w:rFonts w:ascii="Times New Roman" w:hAnsi="Times New Roman" w:cs="Times New Roman"/>
        </w:rPr>
        <w:instrText xml:space="preserve"> SEQ Table \* ARABIC </w:instrText>
      </w:r>
      <w:r w:rsidRPr="00C46DBA">
        <w:rPr>
          <w:rFonts w:ascii="Times New Roman" w:hAnsi="Times New Roman" w:cs="Times New Roman"/>
        </w:rPr>
        <w:fldChar w:fldCharType="separate"/>
      </w:r>
      <w:r w:rsidRPr="00C46DBA">
        <w:rPr>
          <w:rFonts w:ascii="Times New Roman" w:hAnsi="Times New Roman" w:cs="Times New Roman"/>
          <w:noProof/>
        </w:rPr>
        <w:t>1</w:t>
      </w:r>
      <w:r w:rsidRPr="00C46DBA">
        <w:rPr>
          <w:rFonts w:ascii="Times New Roman" w:hAnsi="Times New Roman" w:cs="Times New Roman"/>
        </w:rPr>
        <w:fldChar w:fldCharType="end"/>
      </w:r>
      <w:bookmarkEnd w:id="15"/>
      <w:r w:rsidRPr="00C46DBA">
        <w:rPr>
          <w:rFonts w:ascii="Times New Roman" w:hAnsi="Times New Roman" w:cs="Times New Roman"/>
        </w:rPr>
        <w:t xml:space="preserve">  Updated RRC parameter for Timing relationship</w:t>
      </w:r>
    </w:p>
    <w:tbl>
      <w:tblPr>
        <w:tblpPr w:leftFromText="180" w:rightFromText="180" w:vertAnchor="page" w:horzAnchor="margin" w:tblpXSpec="center" w:tblpY="2831"/>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471"/>
        <w:gridCol w:w="1016"/>
        <w:gridCol w:w="1982"/>
        <w:gridCol w:w="888"/>
        <w:gridCol w:w="1365"/>
        <w:gridCol w:w="1837"/>
        <w:gridCol w:w="676"/>
        <w:gridCol w:w="862"/>
        <w:gridCol w:w="977"/>
        <w:gridCol w:w="1146"/>
        <w:gridCol w:w="1041"/>
        <w:gridCol w:w="867"/>
      </w:tblGrid>
      <w:tr w:rsidR="00C46DBA" w:rsidRPr="00EB6B94" w:rsidTr="00B31487">
        <w:trPr>
          <w:trHeight w:val="933"/>
        </w:trPr>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WI code</w:t>
            </w:r>
          </w:p>
        </w:tc>
        <w:tc>
          <w:tcPr>
            <w:tcW w:w="1471" w:type="dxa"/>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Sub-feature group</w:t>
            </w:r>
          </w:p>
        </w:tc>
        <w:tc>
          <w:tcPr>
            <w:tcW w:w="1016" w:type="dxa"/>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RAN1 specification</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Parameter name in the spec</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New or existing?</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Parameter name in the text</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Description</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Value range</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Default value aspect</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Per (UE, cell, TRP, …)</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UE-specific or Cell-specific</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Specification</w:t>
            </w:r>
          </w:p>
        </w:tc>
        <w:tc>
          <w:tcPr>
            <w:tcW w:w="0" w:type="auto"/>
            <w:shd w:val="clear" w:color="000000" w:fill="00B0F0"/>
            <w:vAlign w:val="center"/>
            <w:hideMark/>
          </w:tcPr>
          <w:p w:rsidR="00EB6B94" w:rsidRPr="00C46DBA" w:rsidRDefault="00EB6B94" w:rsidP="00C46DBA">
            <w:pPr>
              <w:widowControl/>
              <w:jc w:val="left"/>
              <w:rPr>
                <w:rFonts w:eastAsia="等线"/>
                <w:b/>
                <w:bCs/>
                <w:color w:val="FFFFFF"/>
                <w:kern w:val="0"/>
                <w:sz w:val="15"/>
                <w:szCs w:val="20"/>
              </w:rPr>
            </w:pPr>
            <w:r w:rsidRPr="00C46DBA">
              <w:rPr>
                <w:rFonts w:eastAsia="等线"/>
                <w:b/>
                <w:bCs/>
                <w:color w:val="FFFFFF"/>
                <w:kern w:val="0"/>
                <w:sz w:val="15"/>
                <w:szCs w:val="20"/>
              </w:rPr>
              <w:t>Comment</w:t>
            </w:r>
          </w:p>
        </w:tc>
      </w:tr>
      <w:tr w:rsidR="00C46DBA" w:rsidRPr="00EB6B94" w:rsidTr="00B31487">
        <w:trPr>
          <w:trHeight w:val="1857"/>
        </w:trPr>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proofErr w:type="spellStart"/>
            <w:r w:rsidRPr="00C46DBA">
              <w:rPr>
                <w:rFonts w:eastAsia="等线"/>
                <w:strike/>
                <w:color w:val="FF0000"/>
                <w:kern w:val="0"/>
                <w:sz w:val="15"/>
                <w:szCs w:val="20"/>
              </w:rPr>
              <w:t>LTE_NBIOT_eMTC_NTN</w:t>
            </w:r>
            <w:proofErr w:type="spellEnd"/>
          </w:p>
        </w:tc>
        <w:tc>
          <w:tcPr>
            <w:tcW w:w="1471" w:type="dxa"/>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Timing relationships-Koffset-IoT NTN</w:t>
            </w:r>
          </w:p>
        </w:tc>
        <w:tc>
          <w:tcPr>
            <w:tcW w:w="1016" w:type="dxa"/>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36.213</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UE-specific-Koffset -NB-r17</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new</w:t>
            </w:r>
          </w:p>
        </w:tc>
        <w:tc>
          <w:tcPr>
            <w:tcW w:w="0" w:type="auto"/>
            <w:shd w:val="clear" w:color="auto" w:fill="auto"/>
            <w:vAlign w:val="center"/>
            <w:hideMark/>
          </w:tcPr>
          <w:p w:rsidR="00EB6B94" w:rsidRPr="00C46DBA" w:rsidRDefault="00EB6B94" w:rsidP="00C46DBA">
            <w:pPr>
              <w:widowControl/>
              <w:spacing w:after="240"/>
              <w:jc w:val="left"/>
              <w:rPr>
                <w:rFonts w:eastAsia="等线"/>
                <w:strike/>
                <w:color w:val="FF0000"/>
                <w:kern w:val="0"/>
                <w:sz w:val="15"/>
                <w:szCs w:val="20"/>
              </w:rPr>
            </w:pPr>
            <w:r w:rsidRPr="00C46DBA">
              <w:rPr>
                <w:rFonts w:eastAsia="等线"/>
                <w:strike/>
                <w:color w:val="FF0000"/>
                <w:kern w:val="0"/>
                <w:sz w:val="15"/>
                <w:szCs w:val="20"/>
              </w:rPr>
              <w:t>Koffset configuration for UL scheduling</w:t>
            </w:r>
          </w:p>
        </w:tc>
        <w:tc>
          <w:tcPr>
            <w:tcW w:w="0" w:type="auto"/>
            <w:shd w:val="clear" w:color="auto" w:fill="auto"/>
            <w:vAlign w:val="center"/>
            <w:hideMark/>
          </w:tcPr>
          <w:p w:rsidR="00EB6B94" w:rsidRPr="00C46DBA" w:rsidRDefault="00EB6B94" w:rsidP="00C46DBA">
            <w:pPr>
              <w:widowControl/>
              <w:spacing w:after="240"/>
              <w:jc w:val="left"/>
              <w:rPr>
                <w:rFonts w:eastAsia="等线"/>
                <w:strike/>
                <w:color w:val="FF0000"/>
                <w:kern w:val="0"/>
                <w:sz w:val="15"/>
                <w:szCs w:val="20"/>
              </w:rPr>
            </w:pPr>
            <w:r w:rsidRPr="00C46DBA">
              <w:rPr>
                <w:rFonts w:eastAsia="等线"/>
                <w:strike/>
                <w:color w:val="FF0000"/>
                <w:kern w:val="0"/>
                <w:sz w:val="15"/>
                <w:szCs w:val="20"/>
              </w:rPr>
              <w:t xml:space="preserve">The UE-specific K_offset can be provided and updated by network </w:t>
            </w:r>
          </w:p>
        </w:tc>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 xml:space="preserve">　</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UE-specific</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36.331</w:t>
            </w:r>
          </w:p>
        </w:tc>
        <w:tc>
          <w:tcPr>
            <w:tcW w:w="0" w:type="auto"/>
            <w:shd w:val="clear" w:color="auto" w:fill="auto"/>
            <w:vAlign w:val="center"/>
            <w:hideMark/>
          </w:tcPr>
          <w:p w:rsidR="00EB6B94" w:rsidRPr="00C46DBA" w:rsidRDefault="00EB6B94" w:rsidP="00C46DBA">
            <w:pPr>
              <w:widowControl/>
              <w:spacing w:after="240"/>
              <w:jc w:val="left"/>
              <w:rPr>
                <w:rFonts w:eastAsia="等线"/>
                <w:strike/>
                <w:color w:val="FF0000"/>
                <w:kern w:val="0"/>
                <w:sz w:val="15"/>
                <w:szCs w:val="20"/>
              </w:rPr>
            </w:pPr>
            <w:r w:rsidRPr="00C46DBA">
              <w:rPr>
                <w:rFonts w:eastAsia="等线"/>
                <w:strike/>
                <w:color w:val="FF0000"/>
                <w:kern w:val="0"/>
                <w:sz w:val="15"/>
                <w:szCs w:val="20"/>
              </w:rPr>
              <w:t xml:space="preserve">FFS Details </w:t>
            </w:r>
          </w:p>
        </w:tc>
      </w:tr>
      <w:tr w:rsidR="00C46DBA" w:rsidRPr="00EB6B94" w:rsidTr="00B31487">
        <w:trPr>
          <w:trHeight w:val="1857"/>
        </w:trPr>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proofErr w:type="spellStart"/>
            <w:r w:rsidRPr="00C46DBA">
              <w:rPr>
                <w:rFonts w:eastAsia="等线"/>
                <w:strike/>
                <w:color w:val="FF0000"/>
                <w:kern w:val="0"/>
                <w:sz w:val="15"/>
                <w:szCs w:val="20"/>
              </w:rPr>
              <w:t>LTE_NBIOT_eMTC_NTN</w:t>
            </w:r>
            <w:proofErr w:type="spellEnd"/>
          </w:p>
        </w:tc>
        <w:tc>
          <w:tcPr>
            <w:tcW w:w="1471" w:type="dxa"/>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Timing relationships-Koffset-IoT NTN</w:t>
            </w:r>
          </w:p>
        </w:tc>
        <w:tc>
          <w:tcPr>
            <w:tcW w:w="1016" w:type="dxa"/>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36.213</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UE-specific-Koffset -r17</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new</w:t>
            </w:r>
          </w:p>
        </w:tc>
        <w:tc>
          <w:tcPr>
            <w:tcW w:w="0" w:type="auto"/>
            <w:shd w:val="clear" w:color="auto" w:fill="auto"/>
            <w:vAlign w:val="center"/>
            <w:hideMark/>
          </w:tcPr>
          <w:p w:rsidR="00EB6B94" w:rsidRPr="00C46DBA" w:rsidRDefault="00EB6B94" w:rsidP="00C46DBA">
            <w:pPr>
              <w:widowControl/>
              <w:spacing w:after="240"/>
              <w:jc w:val="left"/>
              <w:rPr>
                <w:rFonts w:eastAsia="等线"/>
                <w:strike/>
                <w:color w:val="FF0000"/>
                <w:kern w:val="0"/>
                <w:sz w:val="15"/>
                <w:szCs w:val="20"/>
              </w:rPr>
            </w:pPr>
            <w:r w:rsidRPr="00C46DBA">
              <w:rPr>
                <w:rFonts w:eastAsia="等线"/>
                <w:strike/>
                <w:color w:val="FF0000"/>
                <w:kern w:val="0"/>
                <w:sz w:val="15"/>
                <w:szCs w:val="20"/>
              </w:rPr>
              <w:t>Koffset configuration for UL scheduling</w:t>
            </w:r>
          </w:p>
        </w:tc>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 xml:space="preserve">The UE-specific K_offset can be provided and updated by network </w:t>
            </w:r>
            <w:r w:rsidRPr="00C46DBA">
              <w:rPr>
                <w:rFonts w:eastAsia="等线"/>
                <w:strike/>
                <w:color w:val="FF0000"/>
                <w:kern w:val="0"/>
                <w:sz w:val="15"/>
                <w:szCs w:val="20"/>
              </w:rPr>
              <w:br/>
              <w:t xml:space="preserve">FFS Details </w:t>
            </w:r>
          </w:p>
        </w:tc>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 xml:space="preserve">　</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UE-specific</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36.331</w:t>
            </w:r>
          </w:p>
        </w:tc>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 xml:space="preserve">FFS Details </w:t>
            </w:r>
          </w:p>
        </w:tc>
      </w:tr>
      <w:tr w:rsidR="00C46DBA" w:rsidRPr="00EB6B94" w:rsidTr="00B31487">
        <w:trPr>
          <w:trHeight w:val="1031"/>
        </w:trPr>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proofErr w:type="spellStart"/>
            <w:r w:rsidRPr="00C46DBA">
              <w:rPr>
                <w:rFonts w:eastAsia="等线"/>
                <w:strike/>
                <w:color w:val="FF0000"/>
                <w:kern w:val="0"/>
                <w:sz w:val="15"/>
                <w:szCs w:val="20"/>
              </w:rPr>
              <w:t>LTE_NBIOT_eMTC_NTN</w:t>
            </w:r>
            <w:proofErr w:type="spellEnd"/>
          </w:p>
        </w:tc>
        <w:tc>
          <w:tcPr>
            <w:tcW w:w="1471" w:type="dxa"/>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Timing relationships-</w:t>
            </w:r>
            <w:proofErr w:type="spellStart"/>
            <w:r w:rsidRPr="00C46DBA">
              <w:rPr>
                <w:rFonts w:eastAsia="等线"/>
                <w:strike/>
                <w:color w:val="FF0000"/>
                <w:kern w:val="0"/>
                <w:sz w:val="15"/>
                <w:szCs w:val="20"/>
              </w:rPr>
              <w:t>TAreport</w:t>
            </w:r>
            <w:proofErr w:type="spellEnd"/>
            <w:r w:rsidRPr="00C46DBA">
              <w:rPr>
                <w:rFonts w:eastAsia="等线"/>
                <w:strike/>
                <w:color w:val="FF0000"/>
                <w:kern w:val="0"/>
                <w:sz w:val="15"/>
                <w:szCs w:val="20"/>
              </w:rPr>
              <w:t>-IoT NTN</w:t>
            </w:r>
          </w:p>
        </w:tc>
        <w:tc>
          <w:tcPr>
            <w:tcW w:w="1016" w:type="dxa"/>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36.213</w:t>
            </w:r>
          </w:p>
        </w:tc>
        <w:tc>
          <w:tcPr>
            <w:tcW w:w="0" w:type="auto"/>
            <w:shd w:val="clear" w:color="auto" w:fill="auto"/>
            <w:vAlign w:val="bottom"/>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new</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Details are 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 xml:space="preserve">　</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UE-specific</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36.331</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r>
      <w:tr w:rsidR="00C46DBA" w:rsidRPr="00EB6B94" w:rsidTr="00B31487">
        <w:trPr>
          <w:trHeight w:val="941"/>
        </w:trPr>
        <w:tc>
          <w:tcPr>
            <w:tcW w:w="0" w:type="auto"/>
            <w:shd w:val="clear" w:color="auto" w:fill="auto"/>
            <w:vAlign w:val="center"/>
            <w:hideMark/>
          </w:tcPr>
          <w:p w:rsidR="00EB6B94" w:rsidRPr="00C46DBA" w:rsidRDefault="00EB6B94" w:rsidP="00C46DBA">
            <w:pPr>
              <w:widowControl/>
              <w:jc w:val="left"/>
              <w:rPr>
                <w:rFonts w:eastAsia="等线"/>
                <w:strike/>
                <w:color w:val="FF0000"/>
                <w:kern w:val="0"/>
                <w:sz w:val="15"/>
                <w:szCs w:val="20"/>
              </w:rPr>
            </w:pPr>
            <w:proofErr w:type="spellStart"/>
            <w:r w:rsidRPr="00C46DBA">
              <w:rPr>
                <w:rFonts w:eastAsia="等线"/>
                <w:strike/>
                <w:color w:val="FF0000"/>
                <w:kern w:val="0"/>
                <w:sz w:val="15"/>
                <w:szCs w:val="20"/>
              </w:rPr>
              <w:t>LTE_NBIOT_eMTC_NTN</w:t>
            </w:r>
            <w:proofErr w:type="spellEnd"/>
          </w:p>
        </w:tc>
        <w:tc>
          <w:tcPr>
            <w:tcW w:w="1471" w:type="dxa"/>
            <w:shd w:val="clear" w:color="auto" w:fill="auto"/>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Timing relationships-</w:t>
            </w:r>
            <w:proofErr w:type="spellStart"/>
            <w:r w:rsidRPr="00C46DBA">
              <w:rPr>
                <w:rFonts w:eastAsia="等线"/>
                <w:strike/>
                <w:color w:val="FF0000"/>
                <w:kern w:val="0"/>
                <w:sz w:val="15"/>
                <w:szCs w:val="20"/>
              </w:rPr>
              <w:t>TAreport</w:t>
            </w:r>
            <w:proofErr w:type="spellEnd"/>
            <w:r w:rsidRPr="00C46DBA">
              <w:rPr>
                <w:rFonts w:eastAsia="等线"/>
                <w:strike/>
                <w:color w:val="FF0000"/>
                <w:kern w:val="0"/>
                <w:sz w:val="15"/>
                <w:szCs w:val="20"/>
              </w:rPr>
              <w:t>-IoT NTN</w:t>
            </w:r>
          </w:p>
        </w:tc>
        <w:tc>
          <w:tcPr>
            <w:tcW w:w="1016" w:type="dxa"/>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36.213</w:t>
            </w:r>
          </w:p>
        </w:tc>
        <w:tc>
          <w:tcPr>
            <w:tcW w:w="0" w:type="auto"/>
            <w:shd w:val="clear" w:color="auto" w:fill="auto"/>
            <w:vAlign w:val="bottom"/>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new</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Details are 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 xml:space="preserve">　</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UE-specific</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36.331</w:t>
            </w:r>
          </w:p>
        </w:tc>
        <w:tc>
          <w:tcPr>
            <w:tcW w:w="0" w:type="auto"/>
            <w:shd w:val="clear" w:color="auto" w:fill="auto"/>
            <w:noWrap/>
            <w:vAlign w:val="center"/>
            <w:hideMark/>
          </w:tcPr>
          <w:p w:rsidR="00EB6B94" w:rsidRPr="00C46DBA" w:rsidRDefault="00EB6B94" w:rsidP="00C46DBA">
            <w:pPr>
              <w:widowControl/>
              <w:jc w:val="left"/>
              <w:rPr>
                <w:rFonts w:eastAsia="等线"/>
                <w:strike/>
                <w:color w:val="FF0000"/>
                <w:kern w:val="0"/>
                <w:sz w:val="15"/>
                <w:szCs w:val="20"/>
              </w:rPr>
            </w:pPr>
            <w:r w:rsidRPr="00C46DBA">
              <w:rPr>
                <w:rFonts w:eastAsia="等线"/>
                <w:strike/>
                <w:color w:val="FF0000"/>
                <w:kern w:val="0"/>
                <w:sz w:val="15"/>
                <w:szCs w:val="20"/>
              </w:rPr>
              <w:t>TBD</w:t>
            </w:r>
          </w:p>
        </w:tc>
      </w:tr>
    </w:tbl>
    <w:p w:rsidR="00C46DBA" w:rsidRPr="001D33F7" w:rsidRDefault="00C46DBA">
      <w:pPr>
        <w:tabs>
          <w:tab w:val="left" w:pos="432"/>
          <w:tab w:val="left" w:pos="720"/>
          <w:tab w:val="left" w:pos="4827"/>
        </w:tabs>
        <w:autoSpaceDE w:val="0"/>
        <w:autoSpaceDN w:val="0"/>
        <w:adjustRightInd w:val="0"/>
        <w:spacing w:after="120"/>
        <w:ind w:left="432" w:hanging="432"/>
        <w:outlineLvl w:val="0"/>
        <w:rPr>
          <w:b/>
          <w:bCs/>
          <w:sz w:val="28"/>
          <w:szCs w:val="28"/>
          <w:lang w:val="en-GB" w:eastAsia="en-US"/>
        </w:rPr>
      </w:pPr>
    </w:p>
    <w:sectPr w:rsidR="00C46DBA" w:rsidRPr="001D33F7" w:rsidSect="00346BB5">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656" w:rsidRDefault="000C3656">
      <w:r>
        <w:separator/>
      </w:r>
    </w:p>
  </w:endnote>
  <w:endnote w:type="continuationSeparator" w:id="0">
    <w:p w:rsidR="000C3656" w:rsidRDefault="000C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AE4" w:rsidRDefault="00EB6B94">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F1AE4" w:rsidRDefault="00DF1AE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AE4" w:rsidRDefault="00EB6B94">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8906DB">
      <w:rPr>
        <w:rStyle w:val="ae"/>
        <w:noProof/>
      </w:rPr>
      <w:t>6</w:t>
    </w:r>
    <w:r>
      <w:rPr>
        <w:rStyle w:val="ae"/>
      </w:rPr>
      <w:fldChar w:fldCharType="end"/>
    </w:r>
    <w:r>
      <w:rPr>
        <w:rStyle w:val="ae"/>
        <w:rFonts w:hint="eastAsia"/>
      </w:rPr>
      <w:t>页</w:t>
    </w:r>
  </w:p>
  <w:p w:rsidR="00DF1AE4" w:rsidRDefault="00EB6B94">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656" w:rsidRDefault="000C3656">
      <w:r>
        <w:separator/>
      </w:r>
    </w:p>
  </w:footnote>
  <w:footnote w:type="continuationSeparator" w:id="0">
    <w:p w:rsidR="000C3656" w:rsidRDefault="000C3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AE4" w:rsidRDefault="00DF1AE4">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ECB45A"/>
    <w:multiLevelType w:val="singleLevel"/>
    <w:tmpl w:val="FBECB45A"/>
    <w:lvl w:ilvl="0">
      <w:start w:val="1"/>
      <w:numFmt w:val="bullet"/>
      <w:lvlText w:val=""/>
      <w:lvlJc w:val="left"/>
      <w:pPr>
        <w:ind w:left="420" w:hanging="420"/>
      </w:pPr>
      <w:rPr>
        <w:rFonts w:ascii="Wingdings" w:hAnsi="Wingdings" w:hint="default"/>
      </w:rPr>
    </w:lvl>
  </w:abstractNum>
  <w:abstractNum w:abstractNumId="1" w15:restartNumberingAfterBreak="0">
    <w:nsid w:val="2FFA3471"/>
    <w:multiLevelType w:val="multilevel"/>
    <w:tmpl w:val="2FFA3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483447"/>
    <w:multiLevelType w:val="singleLevel"/>
    <w:tmpl w:val="7D483447"/>
    <w:lvl w:ilvl="0">
      <w:start w:val="1"/>
      <w:numFmt w:val="bullet"/>
      <w:lvlText w:val=""/>
      <w:lvlJc w:val="left"/>
      <w:pPr>
        <w:ind w:left="420" w:hanging="42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71BA"/>
    <w:rsid w:val="000315D3"/>
    <w:rsid w:val="0003172D"/>
    <w:rsid w:val="00034CEB"/>
    <w:rsid w:val="00036D12"/>
    <w:rsid w:val="00036EA2"/>
    <w:rsid w:val="0004791C"/>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2989"/>
    <w:rsid w:val="000B34AF"/>
    <w:rsid w:val="000C0DA1"/>
    <w:rsid w:val="000C3656"/>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33F7"/>
    <w:rsid w:val="001D53E1"/>
    <w:rsid w:val="001D5833"/>
    <w:rsid w:val="001D734F"/>
    <w:rsid w:val="001E2CC4"/>
    <w:rsid w:val="001E318F"/>
    <w:rsid w:val="001E7D94"/>
    <w:rsid w:val="001F154F"/>
    <w:rsid w:val="001F1642"/>
    <w:rsid w:val="001F1BF5"/>
    <w:rsid w:val="001F1DD6"/>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969E8"/>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5953"/>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36AFD"/>
    <w:rsid w:val="003434D8"/>
    <w:rsid w:val="00344D56"/>
    <w:rsid w:val="00345584"/>
    <w:rsid w:val="00346225"/>
    <w:rsid w:val="00346BB5"/>
    <w:rsid w:val="00346C36"/>
    <w:rsid w:val="003504B5"/>
    <w:rsid w:val="00352E30"/>
    <w:rsid w:val="00353F64"/>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4DB0"/>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1411"/>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F2953"/>
    <w:rsid w:val="004F7533"/>
    <w:rsid w:val="0051029C"/>
    <w:rsid w:val="00510763"/>
    <w:rsid w:val="0051579D"/>
    <w:rsid w:val="00516AEA"/>
    <w:rsid w:val="00517D45"/>
    <w:rsid w:val="00520C32"/>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5C27"/>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5CD"/>
    <w:rsid w:val="00717679"/>
    <w:rsid w:val="007204E0"/>
    <w:rsid w:val="00722B4F"/>
    <w:rsid w:val="00723955"/>
    <w:rsid w:val="007259B4"/>
    <w:rsid w:val="00725F30"/>
    <w:rsid w:val="00727ECE"/>
    <w:rsid w:val="007304E6"/>
    <w:rsid w:val="00732D39"/>
    <w:rsid w:val="00733A99"/>
    <w:rsid w:val="00737F28"/>
    <w:rsid w:val="007460B5"/>
    <w:rsid w:val="007462B3"/>
    <w:rsid w:val="00753713"/>
    <w:rsid w:val="00754864"/>
    <w:rsid w:val="00755089"/>
    <w:rsid w:val="0075782B"/>
    <w:rsid w:val="00757BF7"/>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06DB"/>
    <w:rsid w:val="008913D3"/>
    <w:rsid w:val="008936DA"/>
    <w:rsid w:val="00893D34"/>
    <w:rsid w:val="0089772B"/>
    <w:rsid w:val="008A7985"/>
    <w:rsid w:val="008B0C0D"/>
    <w:rsid w:val="008C0251"/>
    <w:rsid w:val="008C08DE"/>
    <w:rsid w:val="008C37AA"/>
    <w:rsid w:val="008C4F68"/>
    <w:rsid w:val="008C624D"/>
    <w:rsid w:val="008C71BC"/>
    <w:rsid w:val="008D14F2"/>
    <w:rsid w:val="008D4215"/>
    <w:rsid w:val="008D4B7E"/>
    <w:rsid w:val="008D4B86"/>
    <w:rsid w:val="008D5B08"/>
    <w:rsid w:val="008D7817"/>
    <w:rsid w:val="008E0B68"/>
    <w:rsid w:val="008E73BF"/>
    <w:rsid w:val="008F1A4A"/>
    <w:rsid w:val="008F320A"/>
    <w:rsid w:val="008F76F6"/>
    <w:rsid w:val="009017B9"/>
    <w:rsid w:val="0090723C"/>
    <w:rsid w:val="009103DA"/>
    <w:rsid w:val="00910F4B"/>
    <w:rsid w:val="00915B30"/>
    <w:rsid w:val="00917970"/>
    <w:rsid w:val="00920268"/>
    <w:rsid w:val="00921446"/>
    <w:rsid w:val="00925805"/>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4421"/>
    <w:rsid w:val="0095443C"/>
    <w:rsid w:val="0095499D"/>
    <w:rsid w:val="009569D6"/>
    <w:rsid w:val="00956EC5"/>
    <w:rsid w:val="00957C22"/>
    <w:rsid w:val="0096003B"/>
    <w:rsid w:val="009616AE"/>
    <w:rsid w:val="0096679F"/>
    <w:rsid w:val="00966D1C"/>
    <w:rsid w:val="00970079"/>
    <w:rsid w:val="0097011D"/>
    <w:rsid w:val="00971DDC"/>
    <w:rsid w:val="00972ED1"/>
    <w:rsid w:val="00980BA5"/>
    <w:rsid w:val="00981194"/>
    <w:rsid w:val="00985A8F"/>
    <w:rsid w:val="00985C6A"/>
    <w:rsid w:val="009903D3"/>
    <w:rsid w:val="0099250C"/>
    <w:rsid w:val="00992DCD"/>
    <w:rsid w:val="009976CD"/>
    <w:rsid w:val="009A3DA6"/>
    <w:rsid w:val="009A4DA5"/>
    <w:rsid w:val="009A53A4"/>
    <w:rsid w:val="009B0693"/>
    <w:rsid w:val="009B0D4F"/>
    <w:rsid w:val="009B52DD"/>
    <w:rsid w:val="009B6925"/>
    <w:rsid w:val="009C03A1"/>
    <w:rsid w:val="009C225A"/>
    <w:rsid w:val="009C2300"/>
    <w:rsid w:val="009C3795"/>
    <w:rsid w:val="009D3105"/>
    <w:rsid w:val="009D446C"/>
    <w:rsid w:val="009D6233"/>
    <w:rsid w:val="009E1876"/>
    <w:rsid w:val="009E748B"/>
    <w:rsid w:val="009F0CFD"/>
    <w:rsid w:val="009F127C"/>
    <w:rsid w:val="009F3F29"/>
    <w:rsid w:val="009F7235"/>
    <w:rsid w:val="009F7BB7"/>
    <w:rsid w:val="00A00E16"/>
    <w:rsid w:val="00A03152"/>
    <w:rsid w:val="00A0525A"/>
    <w:rsid w:val="00A061D1"/>
    <w:rsid w:val="00A1157E"/>
    <w:rsid w:val="00A11699"/>
    <w:rsid w:val="00A13E53"/>
    <w:rsid w:val="00A14885"/>
    <w:rsid w:val="00A17A6F"/>
    <w:rsid w:val="00A17AE9"/>
    <w:rsid w:val="00A20BAE"/>
    <w:rsid w:val="00A21DB5"/>
    <w:rsid w:val="00A22250"/>
    <w:rsid w:val="00A224A4"/>
    <w:rsid w:val="00A228FF"/>
    <w:rsid w:val="00A24846"/>
    <w:rsid w:val="00A2612D"/>
    <w:rsid w:val="00A34D71"/>
    <w:rsid w:val="00A37EE1"/>
    <w:rsid w:val="00A40989"/>
    <w:rsid w:val="00A417EA"/>
    <w:rsid w:val="00A4227F"/>
    <w:rsid w:val="00A467F2"/>
    <w:rsid w:val="00A468BA"/>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65D0"/>
    <w:rsid w:val="00A77352"/>
    <w:rsid w:val="00A773CD"/>
    <w:rsid w:val="00A80E0C"/>
    <w:rsid w:val="00A81024"/>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4727"/>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1487"/>
    <w:rsid w:val="00B36027"/>
    <w:rsid w:val="00B4017A"/>
    <w:rsid w:val="00B4209B"/>
    <w:rsid w:val="00B51597"/>
    <w:rsid w:val="00B5335E"/>
    <w:rsid w:val="00B6049D"/>
    <w:rsid w:val="00B605D2"/>
    <w:rsid w:val="00B62BFF"/>
    <w:rsid w:val="00B63AB8"/>
    <w:rsid w:val="00B64907"/>
    <w:rsid w:val="00B719BF"/>
    <w:rsid w:val="00B71A94"/>
    <w:rsid w:val="00B74A6C"/>
    <w:rsid w:val="00B76BB1"/>
    <w:rsid w:val="00B80B2D"/>
    <w:rsid w:val="00B80BAC"/>
    <w:rsid w:val="00B84288"/>
    <w:rsid w:val="00B85716"/>
    <w:rsid w:val="00B86980"/>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C9C"/>
    <w:rsid w:val="00C342E0"/>
    <w:rsid w:val="00C42B17"/>
    <w:rsid w:val="00C46DBA"/>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A749F"/>
    <w:rsid w:val="00CB075B"/>
    <w:rsid w:val="00CB38DC"/>
    <w:rsid w:val="00CB518E"/>
    <w:rsid w:val="00CD195B"/>
    <w:rsid w:val="00CD245A"/>
    <w:rsid w:val="00CD29BD"/>
    <w:rsid w:val="00CD3BC6"/>
    <w:rsid w:val="00CD5F5D"/>
    <w:rsid w:val="00CD7693"/>
    <w:rsid w:val="00CE17F9"/>
    <w:rsid w:val="00CE22F5"/>
    <w:rsid w:val="00CE32D8"/>
    <w:rsid w:val="00CE3B15"/>
    <w:rsid w:val="00CE3B3B"/>
    <w:rsid w:val="00CE5F4A"/>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6F8D"/>
    <w:rsid w:val="00D676BB"/>
    <w:rsid w:val="00D702B9"/>
    <w:rsid w:val="00D70567"/>
    <w:rsid w:val="00D7212F"/>
    <w:rsid w:val="00D726A0"/>
    <w:rsid w:val="00D85273"/>
    <w:rsid w:val="00D8651C"/>
    <w:rsid w:val="00D93663"/>
    <w:rsid w:val="00D9447B"/>
    <w:rsid w:val="00D97465"/>
    <w:rsid w:val="00DA0A67"/>
    <w:rsid w:val="00DA1193"/>
    <w:rsid w:val="00DA12AB"/>
    <w:rsid w:val="00DA1DE7"/>
    <w:rsid w:val="00DA29B2"/>
    <w:rsid w:val="00DA673C"/>
    <w:rsid w:val="00DA69FB"/>
    <w:rsid w:val="00DA70A3"/>
    <w:rsid w:val="00DA7453"/>
    <w:rsid w:val="00DB0F05"/>
    <w:rsid w:val="00DB4FCB"/>
    <w:rsid w:val="00DB5130"/>
    <w:rsid w:val="00DC10D6"/>
    <w:rsid w:val="00DC2631"/>
    <w:rsid w:val="00DC2E00"/>
    <w:rsid w:val="00DC37AC"/>
    <w:rsid w:val="00DC614E"/>
    <w:rsid w:val="00DC617D"/>
    <w:rsid w:val="00DD1CB8"/>
    <w:rsid w:val="00DD1EAA"/>
    <w:rsid w:val="00DD5F31"/>
    <w:rsid w:val="00DD69C6"/>
    <w:rsid w:val="00DD7DAC"/>
    <w:rsid w:val="00DE02A7"/>
    <w:rsid w:val="00DE0870"/>
    <w:rsid w:val="00DE138A"/>
    <w:rsid w:val="00DE4CCF"/>
    <w:rsid w:val="00DE7651"/>
    <w:rsid w:val="00DF04C5"/>
    <w:rsid w:val="00DF0CF2"/>
    <w:rsid w:val="00DF1AE4"/>
    <w:rsid w:val="00DF40DD"/>
    <w:rsid w:val="00E00132"/>
    <w:rsid w:val="00E01910"/>
    <w:rsid w:val="00E04D38"/>
    <w:rsid w:val="00E052C7"/>
    <w:rsid w:val="00E06774"/>
    <w:rsid w:val="00E118F9"/>
    <w:rsid w:val="00E15384"/>
    <w:rsid w:val="00E153F6"/>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4355"/>
    <w:rsid w:val="00EA680F"/>
    <w:rsid w:val="00EA7A18"/>
    <w:rsid w:val="00EB229E"/>
    <w:rsid w:val="00EB3FF5"/>
    <w:rsid w:val="00EB6663"/>
    <w:rsid w:val="00EB6B94"/>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1033"/>
    <w:rsid w:val="00F814F2"/>
    <w:rsid w:val="00F820C8"/>
    <w:rsid w:val="00F901B0"/>
    <w:rsid w:val="00F907AA"/>
    <w:rsid w:val="00F93992"/>
    <w:rsid w:val="00F9466C"/>
    <w:rsid w:val="00F94D66"/>
    <w:rsid w:val="00F966DA"/>
    <w:rsid w:val="00F96D4E"/>
    <w:rsid w:val="00FA0331"/>
    <w:rsid w:val="00FA17D3"/>
    <w:rsid w:val="00FA25E7"/>
    <w:rsid w:val="00FA2C64"/>
    <w:rsid w:val="00FA2DBC"/>
    <w:rsid w:val="00FA4439"/>
    <w:rsid w:val="00FA5E68"/>
    <w:rsid w:val="00FB469C"/>
    <w:rsid w:val="00FC0A5E"/>
    <w:rsid w:val="00FC205D"/>
    <w:rsid w:val="00FC35F0"/>
    <w:rsid w:val="00FC531E"/>
    <w:rsid w:val="00FC7AB4"/>
    <w:rsid w:val="00FD7948"/>
    <w:rsid w:val="00FE1515"/>
    <w:rsid w:val="00FE18C0"/>
    <w:rsid w:val="00FE557D"/>
    <w:rsid w:val="00FE7E9C"/>
    <w:rsid w:val="00FF0AAD"/>
    <w:rsid w:val="00FF5F2B"/>
    <w:rsid w:val="0108091E"/>
    <w:rsid w:val="01E6517A"/>
    <w:rsid w:val="022C1677"/>
    <w:rsid w:val="02683F31"/>
    <w:rsid w:val="02BD3998"/>
    <w:rsid w:val="02EC5B5D"/>
    <w:rsid w:val="02F76428"/>
    <w:rsid w:val="035B0A68"/>
    <w:rsid w:val="0384788C"/>
    <w:rsid w:val="03B43C8E"/>
    <w:rsid w:val="041B0245"/>
    <w:rsid w:val="04494E33"/>
    <w:rsid w:val="04A93482"/>
    <w:rsid w:val="04ED5EFB"/>
    <w:rsid w:val="053B0253"/>
    <w:rsid w:val="05B01129"/>
    <w:rsid w:val="05B2517E"/>
    <w:rsid w:val="05E6132C"/>
    <w:rsid w:val="05EB39F3"/>
    <w:rsid w:val="06265024"/>
    <w:rsid w:val="06444FE9"/>
    <w:rsid w:val="06F875BC"/>
    <w:rsid w:val="077723F3"/>
    <w:rsid w:val="07BA224C"/>
    <w:rsid w:val="07C55D5F"/>
    <w:rsid w:val="07D7685D"/>
    <w:rsid w:val="07DB314C"/>
    <w:rsid w:val="08256F03"/>
    <w:rsid w:val="08576960"/>
    <w:rsid w:val="08681D29"/>
    <w:rsid w:val="087E0690"/>
    <w:rsid w:val="087E2896"/>
    <w:rsid w:val="08AD7CD2"/>
    <w:rsid w:val="08C9441E"/>
    <w:rsid w:val="09754CCA"/>
    <w:rsid w:val="09811E46"/>
    <w:rsid w:val="09A46EA7"/>
    <w:rsid w:val="09F9533A"/>
    <w:rsid w:val="0A9D3EE6"/>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657CC0"/>
    <w:rsid w:val="0DA07251"/>
    <w:rsid w:val="0E77746F"/>
    <w:rsid w:val="0E7F5540"/>
    <w:rsid w:val="0EC35A62"/>
    <w:rsid w:val="10E76DB0"/>
    <w:rsid w:val="11053965"/>
    <w:rsid w:val="114C755C"/>
    <w:rsid w:val="11561791"/>
    <w:rsid w:val="11975758"/>
    <w:rsid w:val="119B21C8"/>
    <w:rsid w:val="11D84CE7"/>
    <w:rsid w:val="12A95836"/>
    <w:rsid w:val="12BC0AC8"/>
    <w:rsid w:val="13502AD3"/>
    <w:rsid w:val="13827E14"/>
    <w:rsid w:val="1389712F"/>
    <w:rsid w:val="13F26691"/>
    <w:rsid w:val="14835CFA"/>
    <w:rsid w:val="14976E31"/>
    <w:rsid w:val="15896B2E"/>
    <w:rsid w:val="15E60C44"/>
    <w:rsid w:val="17176FF7"/>
    <w:rsid w:val="171A5B79"/>
    <w:rsid w:val="173F1CE9"/>
    <w:rsid w:val="17935886"/>
    <w:rsid w:val="17C5692F"/>
    <w:rsid w:val="18296DEB"/>
    <w:rsid w:val="18594C0F"/>
    <w:rsid w:val="18AA34E4"/>
    <w:rsid w:val="18AD5D43"/>
    <w:rsid w:val="1933383C"/>
    <w:rsid w:val="194B422B"/>
    <w:rsid w:val="19F7568B"/>
    <w:rsid w:val="1A2D134C"/>
    <w:rsid w:val="1A3909F7"/>
    <w:rsid w:val="1A7F0D36"/>
    <w:rsid w:val="1AA322A7"/>
    <w:rsid w:val="1AFB187F"/>
    <w:rsid w:val="1B266C05"/>
    <w:rsid w:val="1B7C5471"/>
    <w:rsid w:val="1BF80209"/>
    <w:rsid w:val="1C044FD8"/>
    <w:rsid w:val="1C21791D"/>
    <w:rsid w:val="1C4A19C6"/>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16256E"/>
    <w:rsid w:val="20A80DEA"/>
    <w:rsid w:val="20BC0A88"/>
    <w:rsid w:val="20F65190"/>
    <w:rsid w:val="212149B9"/>
    <w:rsid w:val="21272536"/>
    <w:rsid w:val="215329A7"/>
    <w:rsid w:val="21D54A29"/>
    <w:rsid w:val="223362B4"/>
    <w:rsid w:val="223D2660"/>
    <w:rsid w:val="22414948"/>
    <w:rsid w:val="22E14E60"/>
    <w:rsid w:val="23221DE1"/>
    <w:rsid w:val="233C3F04"/>
    <w:rsid w:val="234110EE"/>
    <w:rsid w:val="236A31AE"/>
    <w:rsid w:val="23A342CA"/>
    <w:rsid w:val="23A45AB1"/>
    <w:rsid w:val="24094C8A"/>
    <w:rsid w:val="241B5572"/>
    <w:rsid w:val="24400428"/>
    <w:rsid w:val="24722998"/>
    <w:rsid w:val="25354850"/>
    <w:rsid w:val="25357A99"/>
    <w:rsid w:val="256D1E94"/>
    <w:rsid w:val="25810E77"/>
    <w:rsid w:val="25865EB8"/>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8304373"/>
    <w:rsid w:val="285F7A57"/>
    <w:rsid w:val="28B35CBF"/>
    <w:rsid w:val="28DB4E33"/>
    <w:rsid w:val="28EB0C28"/>
    <w:rsid w:val="292504C8"/>
    <w:rsid w:val="2961141D"/>
    <w:rsid w:val="298B1596"/>
    <w:rsid w:val="2A3F5177"/>
    <w:rsid w:val="2A401628"/>
    <w:rsid w:val="2A6246E1"/>
    <w:rsid w:val="2A851A2F"/>
    <w:rsid w:val="2A8B73F2"/>
    <w:rsid w:val="2A9E4A40"/>
    <w:rsid w:val="2B39288B"/>
    <w:rsid w:val="2B937442"/>
    <w:rsid w:val="2BCE75FB"/>
    <w:rsid w:val="2C507556"/>
    <w:rsid w:val="2C67603A"/>
    <w:rsid w:val="2D053731"/>
    <w:rsid w:val="2D23035D"/>
    <w:rsid w:val="2DB17A14"/>
    <w:rsid w:val="2DD0735B"/>
    <w:rsid w:val="2E083BF7"/>
    <w:rsid w:val="2E3D7877"/>
    <w:rsid w:val="2E5B4E96"/>
    <w:rsid w:val="2E897C20"/>
    <w:rsid w:val="2ECE0E0E"/>
    <w:rsid w:val="2F175EE3"/>
    <w:rsid w:val="2F302C7F"/>
    <w:rsid w:val="2F4A563D"/>
    <w:rsid w:val="2F646F25"/>
    <w:rsid w:val="2F932FF0"/>
    <w:rsid w:val="2FA56BAD"/>
    <w:rsid w:val="3044312F"/>
    <w:rsid w:val="304A5BDD"/>
    <w:rsid w:val="30565637"/>
    <w:rsid w:val="305D5CE9"/>
    <w:rsid w:val="310E5B18"/>
    <w:rsid w:val="31240C67"/>
    <w:rsid w:val="314031BA"/>
    <w:rsid w:val="31441F53"/>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5227326"/>
    <w:rsid w:val="35830905"/>
    <w:rsid w:val="36325E56"/>
    <w:rsid w:val="36D5368C"/>
    <w:rsid w:val="377841C8"/>
    <w:rsid w:val="37D43CE3"/>
    <w:rsid w:val="37ED4BAA"/>
    <w:rsid w:val="381D65AC"/>
    <w:rsid w:val="38B16490"/>
    <w:rsid w:val="39111654"/>
    <w:rsid w:val="39223C66"/>
    <w:rsid w:val="395E4712"/>
    <w:rsid w:val="3A4078F3"/>
    <w:rsid w:val="3A854DE7"/>
    <w:rsid w:val="3A917598"/>
    <w:rsid w:val="3AE35762"/>
    <w:rsid w:val="3B077EAF"/>
    <w:rsid w:val="3B3E2F7F"/>
    <w:rsid w:val="3B4C1B1C"/>
    <w:rsid w:val="3BF71853"/>
    <w:rsid w:val="3C9B6550"/>
    <w:rsid w:val="3D2F2E24"/>
    <w:rsid w:val="3D452C55"/>
    <w:rsid w:val="3D7B2589"/>
    <w:rsid w:val="3D820D4F"/>
    <w:rsid w:val="3DC162FC"/>
    <w:rsid w:val="3DEB340F"/>
    <w:rsid w:val="3E384527"/>
    <w:rsid w:val="3E654B3A"/>
    <w:rsid w:val="3EC8510D"/>
    <w:rsid w:val="3EE703CD"/>
    <w:rsid w:val="3FB66AE5"/>
    <w:rsid w:val="400972A3"/>
    <w:rsid w:val="40677F13"/>
    <w:rsid w:val="410D0BE6"/>
    <w:rsid w:val="4126464B"/>
    <w:rsid w:val="41420944"/>
    <w:rsid w:val="4183450D"/>
    <w:rsid w:val="41A14E5B"/>
    <w:rsid w:val="41B7793F"/>
    <w:rsid w:val="41C5741A"/>
    <w:rsid w:val="427C4110"/>
    <w:rsid w:val="431860B6"/>
    <w:rsid w:val="43694FC5"/>
    <w:rsid w:val="4403001A"/>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6F35460"/>
    <w:rsid w:val="47495976"/>
    <w:rsid w:val="48445DDD"/>
    <w:rsid w:val="48614F0D"/>
    <w:rsid w:val="486569F7"/>
    <w:rsid w:val="48E01328"/>
    <w:rsid w:val="48F13F42"/>
    <w:rsid w:val="495D5E49"/>
    <w:rsid w:val="49A137BC"/>
    <w:rsid w:val="49EE4451"/>
    <w:rsid w:val="4A75775E"/>
    <w:rsid w:val="4A7D6949"/>
    <w:rsid w:val="4A89544D"/>
    <w:rsid w:val="4AFE6907"/>
    <w:rsid w:val="4B0E4364"/>
    <w:rsid w:val="4B2F43E3"/>
    <w:rsid w:val="4B4672EB"/>
    <w:rsid w:val="4BD94154"/>
    <w:rsid w:val="4BDB34F5"/>
    <w:rsid w:val="4C411EE0"/>
    <w:rsid w:val="4CFA2F97"/>
    <w:rsid w:val="4D206414"/>
    <w:rsid w:val="4D6312D7"/>
    <w:rsid w:val="4D8D1924"/>
    <w:rsid w:val="4E1C5441"/>
    <w:rsid w:val="4E4D64E9"/>
    <w:rsid w:val="4F04477A"/>
    <w:rsid w:val="4F8E0357"/>
    <w:rsid w:val="4FDD6F1F"/>
    <w:rsid w:val="4FDE1020"/>
    <w:rsid w:val="500F7134"/>
    <w:rsid w:val="5035063E"/>
    <w:rsid w:val="506916AC"/>
    <w:rsid w:val="510425AC"/>
    <w:rsid w:val="512D49DF"/>
    <w:rsid w:val="514A1AFC"/>
    <w:rsid w:val="51614EDF"/>
    <w:rsid w:val="517700DE"/>
    <w:rsid w:val="51B40036"/>
    <w:rsid w:val="5211411F"/>
    <w:rsid w:val="523D6E85"/>
    <w:rsid w:val="52566830"/>
    <w:rsid w:val="52EA46F3"/>
    <w:rsid w:val="5363569C"/>
    <w:rsid w:val="53915975"/>
    <w:rsid w:val="539A7696"/>
    <w:rsid w:val="542F200B"/>
    <w:rsid w:val="54B47C04"/>
    <w:rsid w:val="553D44D4"/>
    <w:rsid w:val="554172FC"/>
    <w:rsid w:val="554655DF"/>
    <w:rsid w:val="5566637C"/>
    <w:rsid w:val="55825C9E"/>
    <w:rsid w:val="55B242A1"/>
    <w:rsid w:val="55C86C89"/>
    <w:rsid w:val="563C2A07"/>
    <w:rsid w:val="56825449"/>
    <w:rsid w:val="56B25DBD"/>
    <w:rsid w:val="56FF3B83"/>
    <w:rsid w:val="57016A14"/>
    <w:rsid w:val="572124A6"/>
    <w:rsid w:val="575541CF"/>
    <w:rsid w:val="57A7652E"/>
    <w:rsid w:val="57AD6958"/>
    <w:rsid w:val="57E82A26"/>
    <w:rsid w:val="58417B4A"/>
    <w:rsid w:val="585B0EC7"/>
    <w:rsid w:val="58617111"/>
    <w:rsid w:val="588B25D6"/>
    <w:rsid w:val="591201EA"/>
    <w:rsid w:val="592A66BD"/>
    <w:rsid w:val="59EB5F4C"/>
    <w:rsid w:val="59F12FC7"/>
    <w:rsid w:val="5A365D77"/>
    <w:rsid w:val="5A5D4C83"/>
    <w:rsid w:val="5A907143"/>
    <w:rsid w:val="5B2E3468"/>
    <w:rsid w:val="5B650EAF"/>
    <w:rsid w:val="5B6A0BCC"/>
    <w:rsid w:val="5C4F3168"/>
    <w:rsid w:val="5C5870F7"/>
    <w:rsid w:val="5C8452D4"/>
    <w:rsid w:val="5CB97A67"/>
    <w:rsid w:val="5CD51CFC"/>
    <w:rsid w:val="5D155388"/>
    <w:rsid w:val="5D416B9C"/>
    <w:rsid w:val="5D5828C3"/>
    <w:rsid w:val="5D6A4F8A"/>
    <w:rsid w:val="5DC74D7D"/>
    <w:rsid w:val="5E4A24EA"/>
    <w:rsid w:val="5E7C2110"/>
    <w:rsid w:val="5F476F77"/>
    <w:rsid w:val="5F5B35F9"/>
    <w:rsid w:val="5F940B73"/>
    <w:rsid w:val="5FEB5295"/>
    <w:rsid w:val="605E0040"/>
    <w:rsid w:val="606006FD"/>
    <w:rsid w:val="60AC299B"/>
    <w:rsid w:val="60E739C5"/>
    <w:rsid w:val="60F04D5C"/>
    <w:rsid w:val="6110004D"/>
    <w:rsid w:val="61164C76"/>
    <w:rsid w:val="613B1FB7"/>
    <w:rsid w:val="6188757E"/>
    <w:rsid w:val="62A84FC1"/>
    <w:rsid w:val="62C17B14"/>
    <w:rsid w:val="63316192"/>
    <w:rsid w:val="63506C72"/>
    <w:rsid w:val="64040342"/>
    <w:rsid w:val="64151B2C"/>
    <w:rsid w:val="64182C53"/>
    <w:rsid w:val="641B107A"/>
    <w:rsid w:val="645547E4"/>
    <w:rsid w:val="64D95B82"/>
    <w:rsid w:val="65F76812"/>
    <w:rsid w:val="65FA44F7"/>
    <w:rsid w:val="66227358"/>
    <w:rsid w:val="66683E11"/>
    <w:rsid w:val="666F7EF3"/>
    <w:rsid w:val="66B26001"/>
    <w:rsid w:val="66C5616F"/>
    <w:rsid w:val="66CB6149"/>
    <w:rsid w:val="671E2E81"/>
    <w:rsid w:val="67381582"/>
    <w:rsid w:val="6740360A"/>
    <w:rsid w:val="67743274"/>
    <w:rsid w:val="67957FAB"/>
    <w:rsid w:val="67A60E13"/>
    <w:rsid w:val="67BB5967"/>
    <w:rsid w:val="68217031"/>
    <w:rsid w:val="68374C76"/>
    <w:rsid w:val="683850C9"/>
    <w:rsid w:val="68624E05"/>
    <w:rsid w:val="687359A1"/>
    <w:rsid w:val="68786E69"/>
    <w:rsid w:val="68916848"/>
    <w:rsid w:val="68A33FCC"/>
    <w:rsid w:val="69072A62"/>
    <w:rsid w:val="69797C2C"/>
    <w:rsid w:val="69DC46DF"/>
    <w:rsid w:val="6A1A0A73"/>
    <w:rsid w:val="6A4142CA"/>
    <w:rsid w:val="6A791F99"/>
    <w:rsid w:val="6A7F667C"/>
    <w:rsid w:val="6B414B2D"/>
    <w:rsid w:val="6B532EC6"/>
    <w:rsid w:val="6B5A5E62"/>
    <w:rsid w:val="6B7C65BA"/>
    <w:rsid w:val="6BC605B2"/>
    <w:rsid w:val="6BF933F2"/>
    <w:rsid w:val="6BF972C1"/>
    <w:rsid w:val="6C2117FB"/>
    <w:rsid w:val="6C28684C"/>
    <w:rsid w:val="6C463007"/>
    <w:rsid w:val="6C9004BE"/>
    <w:rsid w:val="6CE25E3B"/>
    <w:rsid w:val="6CE90180"/>
    <w:rsid w:val="6D911680"/>
    <w:rsid w:val="6DD1681A"/>
    <w:rsid w:val="6DD979C6"/>
    <w:rsid w:val="6DE3633C"/>
    <w:rsid w:val="6E24126E"/>
    <w:rsid w:val="6E9F35CF"/>
    <w:rsid w:val="6F0319F7"/>
    <w:rsid w:val="6F046FD9"/>
    <w:rsid w:val="6F2A7617"/>
    <w:rsid w:val="6F5E3677"/>
    <w:rsid w:val="6F7A04F8"/>
    <w:rsid w:val="6F7E1F18"/>
    <w:rsid w:val="6F966E72"/>
    <w:rsid w:val="70297BFC"/>
    <w:rsid w:val="70756AA2"/>
    <w:rsid w:val="708B090A"/>
    <w:rsid w:val="70E97234"/>
    <w:rsid w:val="711A6ED5"/>
    <w:rsid w:val="71200D36"/>
    <w:rsid w:val="717D19DE"/>
    <w:rsid w:val="718E3D2D"/>
    <w:rsid w:val="719C1153"/>
    <w:rsid w:val="71A06C84"/>
    <w:rsid w:val="71A12D4A"/>
    <w:rsid w:val="71D403C9"/>
    <w:rsid w:val="71FE44FD"/>
    <w:rsid w:val="71FF7E96"/>
    <w:rsid w:val="726B3514"/>
    <w:rsid w:val="727A6FE3"/>
    <w:rsid w:val="72C61A7F"/>
    <w:rsid w:val="730940E4"/>
    <w:rsid w:val="73393A94"/>
    <w:rsid w:val="733F5E92"/>
    <w:rsid w:val="73623050"/>
    <w:rsid w:val="738E331D"/>
    <w:rsid w:val="739E4BB7"/>
    <w:rsid w:val="73B84BDF"/>
    <w:rsid w:val="73FC01A7"/>
    <w:rsid w:val="740204EB"/>
    <w:rsid w:val="74C86E9E"/>
    <w:rsid w:val="750B2D7D"/>
    <w:rsid w:val="75757E4A"/>
    <w:rsid w:val="758D6E11"/>
    <w:rsid w:val="75E91364"/>
    <w:rsid w:val="76CB0A12"/>
    <w:rsid w:val="76DF75B0"/>
    <w:rsid w:val="774A0E18"/>
    <w:rsid w:val="77B40194"/>
    <w:rsid w:val="77B4768B"/>
    <w:rsid w:val="783F5B0E"/>
    <w:rsid w:val="78B00041"/>
    <w:rsid w:val="79113FB4"/>
    <w:rsid w:val="794C0A43"/>
    <w:rsid w:val="7954315B"/>
    <w:rsid w:val="79844E6A"/>
    <w:rsid w:val="79D13DC4"/>
    <w:rsid w:val="79F75010"/>
    <w:rsid w:val="7A4A6DB6"/>
    <w:rsid w:val="7A577BEE"/>
    <w:rsid w:val="7A625516"/>
    <w:rsid w:val="7AE774A3"/>
    <w:rsid w:val="7B214221"/>
    <w:rsid w:val="7B8D123D"/>
    <w:rsid w:val="7B8D5846"/>
    <w:rsid w:val="7BB80125"/>
    <w:rsid w:val="7C323319"/>
    <w:rsid w:val="7C534340"/>
    <w:rsid w:val="7C692247"/>
    <w:rsid w:val="7CA77E90"/>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469AF8-1F17-468D-B640-9E076FA2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 w:type="paragraph" w:customStyle="1" w:styleId="Agreement">
    <w:name w:val="Agreement"/>
    <w:basedOn w:val="a"/>
    <w:next w:val="Doc-text2"/>
    <w:uiPriority w:val="99"/>
    <w:qFormat/>
    <w:pPr>
      <w:numPr>
        <w:numId w:val="3"/>
      </w:numPr>
      <w:spacing w:before="60"/>
    </w:pPr>
    <w:rPr>
      <w:b/>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5317">
      <w:bodyDiv w:val="1"/>
      <w:marLeft w:val="0"/>
      <w:marRight w:val="0"/>
      <w:marTop w:val="0"/>
      <w:marBottom w:val="0"/>
      <w:divBdr>
        <w:top w:val="none" w:sz="0" w:space="0" w:color="auto"/>
        <w:left w:val="none" w:sz="0" w:space="0" w:color="auto"/>
        <w:bottom w:val="none" w:sz="0" w:space="0" w:color="auto"/>
        <w:right w:val="none" w:sz="0" w:space="0" w:color="auto"/>
      </w:divBdr>
    </w:div>
    <w:div w:id="1260219021">
      <w:bodyDiv w:val="1"/>
      <w:marLeft w:val="0"/>
      <w:marRight w:val="0"/>
      <w:marTop w:val="0"/>
      <w:marBottom w:val="0"/>
      <w:divBdr>
        <w:top w:val="none" w:sz="0" w:space="0" w:color="auto"/>
        <w:left w:val="none" w:sz="0" w:space="0" w:color="auto"/>
        <w:bottom w:val="none" w:sz="0" w:space="0" w:color="auto"/>
        <w:right w:val="none" w:sz="0" w:space="0" w:color="auto"/>
      </w:divBdr>
    </w:div>
    <w:div w:id="1445415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37AC8-515D-4329-82B3-7F61D8A8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2192</Words>
  <Characters>12496</Characters>
  <Application>Microsoft Office Word</Application>
  <DocSecurity>0</DocSecurity>
  <Lines>104</Lines>
  <Paragraphs>29</Paragraphs>
  <ScaleCrop>false</ScaleCrop>
  <Company>zte</Company>
  <LinksUpToDate>false</LinksUpToDate>
  <CharactersWithSpaces>14659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张楠10184108</dc:creator>
  <cp:keywords/>
  <dc:description/>
  <cp:lastModifiedBy>ZTE</cp:lastModifiedBy>
  <cp:revision>5</cp:revision>
  <cp:lastPrinted>2113-01-01T00:00:00Z</cp:lastPrinted>
  <dcterms:created xsi:type="dcterms:W3CDTF">2021-08-02T11:27:00Z</dcterms:created>
  <dcterms:modified xsi:type="dcterms:W3CDTF">2021-10-01T07:00:00Z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